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5E" w:rsidRDefault="0069055E" w:rsidP="00F25426">
      <w:pPr>
        <w:spacing w:line="312" w:lineRule="auto"/>
        <w:rPr>
          <w:rFonts w:ascii="Arial" w:hAnsi="Arial" w:cs="Arial"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Gemeinde [</w:t>
      </w:r>
      <w:r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</w:rPr>
        <w:t>]</w:t>
      </w:r>
      <w:bookmarkStart w:id="0" w:name="_GoBack"/>
      <w:bookmarkEnd w:id="0"/>
    </w:p>
    <w:p w:rsidR="00F25426" w:rsidRDefault="00F25426" w:rsidP="00F25426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Adresse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PLZ Ort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</w:rPr>
      </w:pPr>
    </w:p>
    <w:p w:rsidR="00F25426" w:rsidRDefault="00CB1A0F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Amt für Raumentwicklung</w:t>
      </w:r>
    </w:p>
    <w:p w:rsidR="00F25426" w:rsidRDefault="0069055E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Ringstrasse 10</w:t>
      </w:r>
    </w:p>
    <w:p w:rsidR="00F25426" w:rsidRDefault="00CB1A0F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700</w:t>
      </w:r>
      <w:r w:rsidR="0069055E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Chur</w:t>
      </w: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F25426" w:rsidRDefault="00F25426" w:rsidP="00F25426">
      <w:pPr>
        <w:spacing w:line="312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highlight w:val="lightGray"/>
        </w:rPr>
        <w:t>Ort, Datum</w:t>
      </w:r>
      <w:r>
        <w:rPr>
          <w:rFonts w:ascii="Arial" w:hAnsi="Arial" w:cs="Arial"/>
        </w:rPr>
        <w:t>]</w:t>
      </w:r>
    </w:p>
    <w:p w:rsidR="00F25426" w:rsidRDefault="00F25426" w:rsidP="00F25426">
      <w:pPr>
        <w:spacing w:line="312" w:lineRule="auto"/>
        <w:rPr>
          <w:rFonts w:ascii="Arial" w:hAnsi="Arial" w:cs="Arial"/>
          <w:b/>
        </w:rPr>
      </w:pPr>
    </w:p>
    <w:p w:rsidR="00E63483" w:rsidRDefault="00E63483" w:rsidP="00F25426">
      <w:pPr>
        <w:spacing w:line="312" w:lineRule="auto"/>
        <w:rPr>
          <w:rFonts w:ascii="Arial" w:hAnsi="Arial" w:cs="Arial"/>
          <w:b/>
        </w:rPr>
      </w:pPr>
    </w:p>
    <w:p w:rsidR="00B46B0C" w:rsidRPr="00576EBB" w:rsidRDefault="00F25426" w:rsidP="00576EBB">
      <w:pPr>
        <w:spacing w:line="312" w:lineRule="auto"/>
        <w:ind w:right="-285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 xml:space="preserve">Mitteilung </w:t>
      </w:r>
      <w:r w:rsidR="001A3CDB">
        <w:rPr>
          <w:rFonts w:ascii="Arial" w:hAnsi="Arial" w:cs="Arial"/>
          <w:b/>
        </w:rPr>
        <w:t>einer</w:t>
      </w:r>
      <w:r>
        <w:rPr>
          <w:rFonts w:ascii="Arial" w:hAnsi="Arial" w:cs="Arial"/>
          <w:b/>
        </w:rPr>
        <w:t xml:space="preserve"> </w:t>
      </w:r>
      <w:r w:rsidR="00B35202">
        <w:rPr>
          <w:rFonts w:ascii="Arial" w:hAnsi="Arial" w:cs="Arial"/>
          <w:b/>
        </w:rPr>
        <w:t xml:space="preserve">rechtskräftigen </w:t>
      </w:r>
      <w:r w:rsidR="0038349C">
        <w:rPr>
          <w:rFonts w:ascii="Arial" w:hAnsi="Arial" w:cs="Arial"/>
          <w:b/>
        </w:rPr>
        <w:t>Verfügung in Sachen Baulandmobilisierung</w:t>
      </w:r>
      <w:r w:rsidR="003A09F5">
        <w:rPr>
          <w:rFonts w:ascii="Arial" w:hAnsi="Arial" w:cs="Arial"/>
          <w:b/>
        </w:rPr>
        <w:t xml:space="preserve"> </w:t>
      </w: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546C62" w:rsidRDefault="00E63483" w:rsidP="00F55ABD">
      <w:pPr>
        <w:pStyle w:val="Haupttext2"/>
      </w:pPr>
      <w:r>
        <w:t xml:space="preserve">Wir </w:t>
      </w:r>
      <w:r w:rsidR="001A3CDB">
        <w:t xml:space="preserve">stellen Ihnen hiermit die </w:t>
      </w:r>
      <w:r>
        <w:t>beiliegende</w:t>
      </w:r>
      <w:r w:rsidR="00F55ABD">
        <w:t xml:space="preserve"> </w:t>
      </w:r>
      <w:r>
        <w:t>rechtskräftige</w:t>
      </w:r>
      <w:r w:rsidR="003A09F5">
        <w:t xml:space="preserve"> </w:t>
      </w:r>
      <w:r>
        <w:t>[</w:t>
      </w:r>
      <w:r w:rsidRPr="00E63483">
        <w:rPr>
          <w:highlight w:val="lightGray"/>
        </w:rPr>
        <w:t>…</w:t>
      </w:r>
      <w:r>
        <w:rPr>
          <w:rStyle w:val="Endnotenzeichen"/>
          <w:highlight w:val="lightGray"/>
        </w:rPr>
        <w:endnoteReference w:id="1"/>
      </w:r>
      <w:r>
        <w:t>]</w:t>
      </w:r>
      <w:proofErr w:type="spellStart"/>
      <w:r w:rsidR="006F56BA">
        <w:t>verfügung</w:t>
      </w:r>
      <w:proofErr w:type="spellEnd"/>
      <w:r w:rsidR="006F56BA">
        <w:t xml:space="preserve"> [</w:t>
      </w:r>
      <w:r w:rsidR="006F56BA" w:rsidRPr="006F56BA">
        <w:rPr>
          <w:highlight w:val="lightGray"/>
        </w:rPr>
        <w:t>…</w:t>
      </w:r>
      <w:r w:rsidR="006F56BA" w:rsidRPr="006F56BA">
        <w:rPr>
          <w:highlight w:val="lightGray"/>
          <w:vertAlign w:val="superscript"/>
        </w:rPr>
        <w:t>1</w:t>
      </w:r>
      <w:r w:rsidR="006F56BA">
        <w:t>]</w:t>
      </w:r>
      <w:r>
        <w:t xml:space="preserve"> </w:t>
      </w:r>
      <w:r w:rsidR="001A3CDB">
        <w:t>zur</w:t>
      </w:r>
      <w:r>
        <w:t xml:space="preserve"> Kenntnisnahme</w:t>
      </w:r>
      <w:r w:rsidR="001A3CDB">
        <w:t xml:space="preserve"> zu</w:t>
      </w:r>
      <w:r w:rsidR="0038349C" w:rsidRPr="003A09F5">
        <w:t>.</w:t>
      </w:r>
      <w:r w:rsidR="00F55ABD">
        <w:t xml:space="preserve"> </w:t>
      </w:r>
    </w:p>
    <w:p w:rsidR="00F55ABD" w:rsidRDefault="00F55ABD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DF42B4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F42B4">
        <w:rPr>
          <w:rFonts w:ascii="Arial" w:eastAsiaTheme="minorHAnsi" w:hAnsi="Arial" w:cs="Arial"/>
          <w:sz w:val="22"/>
          <w:szCs w:val="22"/>
          <w:lang w:eastAsia="en-US"/>
        </w:rPr>
        <w:t xml:space="preserve">Für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>die Gemeinde</w:t>
      </w:r>
    </w:p>
    <w:p w:rsidR="00DF42B4" w:rsidRPr="00D27698" w:rsidRDefault="00DF42B4" w:rsidP="00DF42B4">
      <w:pPr>
        <w:rPr>
          <w:rFonts w:ascii="Arial" w:hAnsi="Arial" w:cs="Arial"/>
          <w:sz w:val="10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__________________________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__________________________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</w:t>
      </w:r>
      <w:proofErr w:type="gramStart"/>
      <w:r w:rsidRPr="00C743E8">
        <w:rPr>
          <w:rFonts w:ascii="Arial" w:hAnsi="Arial" w:cs="Arial"/>
          <w:sz w:val="22"/>
          <w:szCs w:val="22"/>
          <w:highlight w:val="lightGray"/>
        </w:rPr>
        <w:t>Die Gemeindepräsident</w:t>
      </w:r>
      <w:proofErr w:type="gramEnd"/>
      <w:r w:rsidRPr="00C743E8">
        <w:rPr>
          <w:rFonts w:ascii="Arial" w:hAnsi="Arial" w:cs="Arial"/>
          <w:sz w:val="22"/>
          <w:szCs w:val="22"/>
          <w:highlight w:val="lightGray"/>
        </w:rPr>
        <w:t>/in</w:t>
      </w:r>
      <w:r w:rsidRPr="00DF42B4">
        <w:rPr>
          <w:rFonts w:ascii="Arial" w:hAnsi="Arial" w:cs="Arial"/>
          <w:sz w:val="22"/>
          <w:szCs w:val="22"/>
        </w:rPr>
        <w:t>]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Der/Die Gemeindeschreiber/in</w:t>
      </w:r>
      <w:r w:rsidRPr="00DF42B4">
        <w:rPr>
          <w:rFonts w:ascii="Arial" w:hAnsi="Arial" w:cs="Arial"/>
          <w:sz w:val="22"/>
          <w:szCs w:val="22"/>
        </w:rPr>
        <w:t>]</w:t>
      </w:r>
    </w:p>
    <w:p w:rsidR="00B46B0C" w:rsidRPr="00B46B0C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42B4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B75ED" w:rsidRDefault="004B75ED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B75ED" w:rsidRPr="00EE2B15" w:rsidRDefault="004B75ED" w:rsidP="004B7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u w:val="single"/>
          <w:lang w:eastAsia="en-US"/>
        </w:rPr>
        <w:t>Benutzungshinweis: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Diese </w:t>
      </w:r>
      <w:r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orlage stellt eine Hilfestellung des Kantons dar. </w:t>
      </w:r>
      <w:r w:rsidR="003A7E4A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Durch </w:t>
      </w:r>
      <w:r w:rsidR="003A7E4A">
        <w:rPr>
          <w:rFonts w:ascii="Arial" w:eastAsiaTheme="minorHAnsi" w:hAnsi="Arial" w:cs="Arial"/>
          <w:sz w:val="22"/>
          <w:szCs w:val="22"/>
          <w:lang w:eastAsia="en-US"/>
        </w:rPr>
        <w:t>die Gemeinde in jedem Fall</w:t>
      </w:r>
      <w:r w:rsidR="003A7E4A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A7E4A">
        <w:rPr>
          <w:rFonts w:ascii="Arial" w:eastAsiaTheme="minorHAnsi" w:hAnsi="Arial" w:cs="Arial"/>
          <w:sz w:val="22"/>
          <w:szCs w:val="22"/>
          <w:lang w:eastAsia="en-US"/>
        </w:rPr>
        <w:t>zu ergänzende</w:t>
      </w:r>
      <w:r w:rsidR="003A7E4A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oder zu präzisierende Textstellen werden mit den in eckigen Klammern gesetzten Platzhaltern […] kenntlich gemacht und sind grau hinterlegt.</w:t>
      </w:r>
    </w:p>
    <w:p w:rsidR="00BD2539" w:rsidRPr="00576EBB" w:rsidRDefault="00BD2539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12"/>
          <w:szCs w:val="22"/>
          <w:lang w:eastAsia="en-US"/>
        </w:rPr>
      </w:pPr>
    </w:p>
    <w:sectPr w:rsidR="00BD2539" w:rsidRPr="00576EBB" w:rsidSect="004B75ED">
      <w:headerReference w:type="default" r:id="rId11"/>
      <w:headerReference w:type="first" r:id="rId12"/>
      <w:endnotePr>
        <w:numFmt w:val="decimal"/>
      </w:endnotePr>
      <w:pgSz w:w="11906" w:h="16838" w:code="9"/>
      <w:pgMar w:top="1701" w:right="1701" w:bottom="85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0E" w:rsidRDefault="00154A0E">
      <w:r>
        <w:separator/>
      </w:r>
    </w:p>
  </w:endnote>
  <w:endnote w:type="continuationSeparator" w:id="0">
    <w:p w:rsidR="00154A0E" w:rsidRDefault="00154A0E">
      <w:r>
        <w:continuationSeparator/>
      </w:r>
    </w:p>
  </w:endnote>
  <w:endnote w:id="1">
    <w:p w:rsidR="004B75ED" w:rsidRPr="004B75ED" w:rsidRDefault="00E63483" w:rsidP="004B75ED">
      <w:pPr>
        <w:pStyle w:val="Endnotentext"/>
        <w:tabs>
          <w:tab w:val="left" w:pos="567"/>
        </w:tabs>
        <w:spacing w:after="60"/>
        <w:ind w:left="284" w:right="-285" w:hanging="284"/>
        <w:rPr>
          <w:rFonts w:ascii="Arial" w:hAnsi="Arial" w:cs="Arial"/>
        </w:rPr>
      </w:pPr>
      <w:r>
        <w:rPr>
          <w:rStyle w:val="Endnotenzeichen"/>
        </w:rPr>
        <w:endnoteRef/>
      </w:r>
      <w:r>
        <w:t xml:space="preserve"> </w:t>
      </w:r>
      <w:r w:rsidR="004B75ED">
        <w:t xml:space="preserve">  </w:t>
      </w:r>
      <w:r w:rsidR="004B75ED" w:rsidRPr="004B75ED">
        <w:rPr>
          <w:rFonts w:ascii="Arial" w:hAnsi="Arial" w:cs="Arial"/>
        </w:rPr>
        <w:tab/>
        <w:t xml:space="preserve">- </w:t>
      </w:r>
      <w:r w:rsidR="004B75ED" w:rsidRPr="004B75ED">
        <w:rPr>
          <w:rFonts w:ascii="Arial" w:hAnsi="Arial" w:cs="Arial"/>
        </w:rPr>
        <w:tab/>
      </w:r>
      <w:r w:rsidRPr="00576EBB">
        <w:rPr>
          <w:rFonts w:ascii="Arial" w:hAnsi="Arial" w:cs="Arial"/>
          <w:b/>
        </w:rPr>
        <w:t xml:space="preserve">Feststellungsverfügung </w:t>
      </w:r>
      <w:r w:rsidRPr="00576EBB">
        <w:rPr>
          <w:rFonts w:ascii="Arial" w:hAnsi="Arial" w:cs="Arial"/>
        </w:rPr>
        <w:t xml:space="preserve">betreffend </w:t>
      </w:r>
      <w:r w:rsidR="00576EBB" w:rsidRPr="00576EBB">
        <w:rPr>
          <w:rFonts w:ascii="Arial" w:hAnsi="Arial" w:cs="Arial"/>
        </w:rPr>
        <w:t xml:space="preserve">Fristablauf Überbauungspflicht mit </w:t>
      </w:r>
      <w:r w:rsidR="00576EBB">
        <w:rPr>
          <w:rFonts w:ascii="Arial" w:hAnsi="Arial" w:cs="Arial"/>
        </w:rPr>
        <w:t>Nachfristansetzung</w:t>
      </w:r>
      <w:r w:rsidR="00576EBB" w:rsidRPr="00576EBB">
        <w:rPr>
          <w:rFonts w:ascii="Arial" w:hAnsi="Arial" w:cs="Arial"/>
        </w:rPr>
        <w:br/>
        <w:t xml:space="preserve">   </w:t>
      </w:r>
      <w:r w:rsidR="00576EBB" w:rsidRPr="00576EBB">
        <w:rPr>
          <w:rFonts w:ascii="Arial" w:hAnsi="Arial" w:cs="Arial"/>
        </w:rPr>
        <w:tab/>
        <w:t xml:space="preserve">(zwei Jahre) für Überbauung (Art. 19d Abs. 2 </w:t>
      </w:r>
      <w:r w:rsidR="0049678D">
        <w:rPr>
          <w:rFonts w:ascii="Arial" w:hAnsi="Arial" w:cs="Arial"/>
        </w:rPr>
        <w:t xml:space="preserve">Ziff. 2 </w:t>
      </w:r>
      <w:r w:rsidR="00576EBB" w:rsidRPr="00576EBB">
        <w:rPr>
          <w:rFonts w:ascii="Arial" w:hAnsi="Arial" w:cs="Arial"/>
        </w:rPr>
        <w:t>KRG)</w:t>
      </w:r>
    </w:p>
    <w:p w:rsidR="004B75ED" w:rsidRPr="004B75ED" w:rsidRDefault="004B75ED" w:rsidP="004B75ED">
      <w:pPr>
        <w:pStyle w:val="Endnotentext"/>
        <w:tabs>
          <w:tab w:val="left" w:pos="567"/>
        </w:tabs>
        <w:spacing w:after="60"/>
        <w:ind w:left="284" w:right="-427" w:hanging="284"/>
        <w:rPr>
          <w:rFonts w:ascii="Arial" w:hAnsi="Arial" w:cs="Arial"/>
        </w:rPr>
      </w:pPr>
      <w:r w:rsidRPr="004B75ED">
        <w:rPr>
          <w:rFonts w:ascii="Arial" w:hAnsi="Arial" w:cs="Arial"/>
        </w:rPr>
        <w:tab/>
        <w:t xml:space="preserve">- </w:t>
      </w:r>
      <w:r w:rsidRPr="004B75ED">
        <w:rPr>
          <w:rFonts w:ascii="Arial" w:hAnsi="Arial" w:cs="Arial"/>
        </w:rPr>
        <w:tab/>
      </w:r>
      <w:r w:rsidRPr="006F56BA">
        <w:rPr>
          <w:rFonts w:ascii="Arial" w:hAnsi="Arial" w:cs="Arial"/>
          <w:b/>
        </w:rPr>
        <w:t>Feststellungsverfügung</w:t>
      </w:r>
      <w:r w:rsidRPr="004B75ED">
        <w:rPr>
          <w:rFonts w:ascii="Arial" w:hAnsi="Arial" w:cs="Arial"/>
        </w:rPr>
        <w:t xml:space="preserve"> </w:t>
      </w:r>
      <w:r w:rsidR="00576EBB">
        <w:rPr>
          <w:rFonts w:ascii="Arial" w:hAnsi="Arial" w:cs="Arial"/>
        </w:rPr>
        <w:t>betreffend A</w:t>
      </w:r>
      <w:r w:rsidRPr="004B75ED">
        <w:rPr>
          <w:rFonts w:ascii="Arial" w:hAnsi="Arial" w:cs="Arial"/>
        </w:rPr>
        <w:t xml:space="preserve">blauf Nachfrist und Ausübung Kaufrecht </w:t>
      </w:r>
      <w:r w:rsidR="00576EBB">
        <w:rPr>
          <w:rFonts w:ascii="Arial" w:hAnsi="Arial" w:cs="Arial"/>
        </w:rPr>
        <w:t>(</w:t>
      </w:r>
      <w:r w:rsidRPr="004B75ED">
        <w:rPr>
          <w:rFonts w:ascii="Arial" w:hAnsi="Arial" w:cs="Arial"/>
        </w:rPr>
        <w:t>Art. 19d KRG</w:t>
      </w:r>
      <w:r w:rsidR="00576EBB">
        <w:rPr>
          <w:rFonts w:ascii="Arial" w:hAnsi="Arial" w:cs="Arial"/>
        </w:rPr>
        <w:t>)</w:t>
      </w:r>
    </w:p>
    <w:p w:rsidR="004B75ED" w:rsidRPr="004B75ED" w:rsidRDefault="004B75ED" w:rsidP="004B75ED">
      <w:pPr>
        <w:pStyle w:val="Endnotentext"/>
        <w:tabs>
          <w:tab w:val="left" w:pos="567"/>
        </w:tabs>
        <w:spacing w:after="60"/>
        <w:ind w:left="284" w:hanging="284"/>
        <w:rPr>
          <w:rFonts w:ascii="Arial" w:hAnsi="Arial" w:cs="Arial"/>
        </w:rPr>
      </w:pPr>
      <w:r w:rsidRPr="004B75ED">
        <w:rPr>
          <w:rFonts w:ascii="Arial" w:hAnsi="Arial" w:cs="Arial"/>
        </w:rPr>
        <w:tab/>
        <w:t xml:space="preserve">- </w:t>
      </w:r>
      <w:r w:rsidRPr="004B75ED">
        <w:rPr>
          <w:rFonts w:ascii="Arial" w:hAnsi="Arial" w:cs="Arial"/>
        </w:rPr>
        <w:tab/>
      </w:r>
      <w:r w:rsidRPr="006F56BA">
        <w:rPr>
          <w:rFonts w:ascii="Arial" w:hAnsi="Arial" w:cs="Arial"/>
          <w:b/>
        </w:rPr>
        <w:t xml:space="preserve">Feststellungsverfügung </w:t>
      </w:r>
      <w:r w:rsidRPr="004B75ED">
        <w:rPr>
          <w:rFonts w:ascii="Arial" w:hAnsi="Arial" w:cs="Arial"/>
        </w:rPr>
        <w:t xml:space="preserve">betreffend </w:t>
      </w:r>
      <w:r w:rsidR="00576EBB">
        <w:rPr>
          <w:rFonts w:ascii="Arial" w:hAnsi="Arial" w:cs="Arial"/>
        </w:rPr>
        <w:t>Fristablauf Überbauungspflicht und Entlassung des</w:t>
      </w:r>
      <w:r w:rsidRPr="004B75ED">
        <w:rPr>
          <w:rFonts w:ascii="Arial" w:hAnsi="Arial" w:cs="Arial"/>
        </w:rPr>
        <w:t xml:space="preserve"> </w:t>
      </w:r>
      <w:r w:rsidR="006F56BA">
        <w:rPr>
          <w:rFonts w:ascii="Arial" w:hAnsi="Arial" w:cs="Arial"/>
        </w:rPr>
        <w:t xml:space="preserve">     </w:t>
      </w:r>
      <w:r w:rsidR="006F56BA">
        <w:rPr>
          <w:rFonts w:ascii="Arial" w:hAnsi="Arial" w:cs="Arial"/>
        </w:rPr>
        <w:br/>
        <w:t xml:space="preserve">   </w:t>
      </w:r>
      <w:r w:rsidR="006F56BA">
        <w:rPr>
          <w:rFonts w:ascii="Arial" w:hAnsi="Arial" w:cs="Arial"/>
        </w:rPr>
        <w:tab/>
      </w:r>
      <w:r w:rsidR="00576EBB">
        <w:rPr>
          <w:rFonts w:ascii="Arial" w:hAnsi="Arial" w:cs="Arial"/>
        </w:rPr>
        <w:t>Grundstücks</w:t>
      </w:r>
      <w:r w:rsidRPr="004B75ED">
        <w:rPr>
          <w:rFonts w:ascii="Arial" w:hAnsi="Arial" w:cs="Arial"/>
        </w:rPr>
        <w:t xml:space="preserve"> aus der Bauzone </w:t>
      </w:r>
      <w:r w:rsidR="00576EBB">
        <w:rPr>
          <w:rFonts w:ascii="Arial" w:hAnsi="Arial" w:cs="Arial"/>
        </w:rPr>
        <w:t>(</w:t>
      </w:r>
      <w:r w:rsidRPr="004B75ED">
        <w:rPr>
          <w:rFonts w:ascii="Arial" w:hAnsi="Arial" w:cs="Arial"/>
        </w:rPr>
        <w:t>Art. 19e KRG</w:t>
      </w:r>
      <w:r w:rsidR="00576EBB">
        <w:rPr>
          <w:rFonts w:ascii="Arial" w:hAnsi="Arial" w:cs="Arial"/>
        </w:rPr>
        <w:t>)</w:t>
      </w:r>
    </w:p>
    <w:p w:rsidR="004B75ED" w:rsidRPr="004B75ED" w:rsidRDefault="004B75ED" w:rsidP="004B75ED">
      <w:pPr>
        <w:pStyle w:val="Endnotentext"/>
        <w:tabs>
          <w:tab w:val="left" w:pos="567"/>
        </w:tabs>
        <w:spacing w:after="60"/>
        <w:ind w:left="284" w:hanging="284"/>
        <w:rPr>
          <w:rFonts w:ascii="Arial" w:hAnsi="Arial" w:cs="Arial"/>
        </w:rPr>
      </w:pPr>
      <w:r w:rsidRPr="004B75ED">
        <w:rPr>
          <w:rFonts w:ascii="Arial" w:hAnsi="Arial" w:cs="Arial"/>
        </w:rPr>
        <w:tab/>
        <w:t xml:space="preserve">- </w:t>
      </w:r>
      <w:r w:rsidRPr="004B75ED">
        <w:rPr>
          <w:rFonts w:ascii="Arial" w:hAnsi="Arial" w:cs="Arial"/>
        </w:rPr>
        <w:tab/>
      </w:r>
      <w:r w:rsidR="006F56BA" w:rsidRPr="006F56BA">
        <w:rPr>
          <w:rFonts w:ascii="Arial" w:hAnsi="Arial" w:cs="Arial"/>
          <w:b/>
        </w:rPr>
        <w:t>Fristverlängerungsverfügung</w:t>
      </w:r>
      <w:r w:rsidRPr="004B75ED">
        <w:rPr>
          <w:rFonts w:ascii="Arial" w:hAnsi="Arial" w:cs="Arial"/>
        </w:rPr>
        <w:t xml:space="preserve"> </w:t>
      </w:r>
      <w:r w:rsidR="00576EBB">
        <w:rPr>
          <w:rFonts w:ascii="Arial" w:hAnsi="Arial" w:cs="Arial"/>
        </w:rPr>
        <w:t xml:space="preserve">betreffend Überbauungspflicht bei befristeter Ein-, Um- </w:t>
      </w:r>
      <w:r w:rsidR="00576EBB">
        <w:rPr>
          <w:rFonts w:ascii="Arial" w:hAnsi="Arial" w:cs="Arial"/>
        </w:rPr>
        <w:br/>
        <w:t xml:space="preserve">   </w:t>
      </w:r>
      <w:r w:rsidR="00576EBB">
        <w:rPr>
          <w:rFonts w:ascii="Arial" w:hAnsi="Arial" w:cs="Arial"/>
        </w:rPr>
        <w:tab/>
        <w:t xml:space="preserve">oder </w:t>
      </w:r>
      <w:proofErr w:type="spellStart"/>
      <w:r w:rsidR="00576EBB">
        <w:rPr>
          <w:rFonts w:ascii="Arial" w:hAnsi="Arial" w:cs="Arial"/>
        </w:rPr>
        <w:t>Aufzonung</w:t>
      </w:r>
      <w:proofErr w:type="spellEnd"/>
      <w:r w:rsidR="00576EBB">
        <w:rPr>
          <w:rFonts w:ascii="Arial" w:hAnsi="Arial" w:cs="Arial"/>
        </w:rPr>
        <w:t xml:space="preserve"> (Art. 19h Abs. 2 KRG)</w:t>
      </w:r>
    </w:p>
    <w:p w:rsidR="004B75ED" w:rsidRPr="004B75ED" w:rsidRDefault="004B75ED" w:rsidP="004B75ED">
      <w:pPr>
        <w:pStyle w:val="Endnotentext"/>
        <w:tabs>
          <w:tab w:val="left" w:pos="567"/>
        </w:tabs>
        <w:spacing w:after="60"/>
        <w:ind w:left="284" w:hanging="284"/>
        <w:rPr>
          <w:rFonts w:ascii="Arial" w:hAnsi="Arial" w:cs="Arial"/>
        </w:rPr>
      </w:pPr>
      <w:r w:rsidRPr="004B75ED">
        <w:rPr>
          <w:rFonts w:ascii="Arial" w:hAnsi="Arial" w:cs="Arial"/>
        </w:rPr>
        <w:tab/>
        <w:t xml:space="preserve">- </w:t>
      </w:r>
      <w:r w:rsidRPr="004B75ED">
        <w:rPr>
          <w:rFonts w:ascii="Arial" w:hAnsi="Arial" w:cs="Arial"/>
        </w:rPr>
        <w:tab/>
      </w:r>
      <w:r w:rsidRPr="006F56BA">
        <w:rPr>
          <w:rFonts w:ascii="Arial" w:hAnsi="Arial" w:cs="Arial"/>
          <w:b/>
        </w:rPr>
        <w:t>Feststellungsverfügung</w:t>
      </w:r>
      <w:r w:rsidRPr="004B75ED">
        <w:rPr>
          <w:rFonts w:ascii="Arial" w:hAnsi="Arial" w:cs="Arial"/>
        </w:rPr>
        <w:t xml:space="preserve"> betreffend Fristablauf </w:t>
      </w:r>
      <w:r w:rsidR="00576EBB">
        <w:rPr>
          <w:rFonts w:ascii="Arial" w:hAnsi="Arial" w:cs="Arial"/>
        </w:rPr>
        <w:t xml:space="preserve">Überbauungspflicht </w:t>
      </w:r>
      <w:r w:rsidRPr="004B75ED">
        <w:rPr>
          <w:rFonts w:ascii="Arial" w:hAnsi="Arial" w:cs="Arial"/>
        </w:rPr>
        <w:t xml:space="preserve">und </w:t>
      </w:r>
      <w:r w:rsidR="00576EBB">
        <w:rPr>
          <w:rFonts w:ascii="Arial" w:hAnsi="Arial" w:cs="Arial"/>
        </w:rPr>
        <w:t>Dahinfallen der</w:t>
      </w:r>
      <w:r w:rsidRPr="004B75ED">
        <w:rPr>
          <w:rFonts w:ascii="Arial" w:hAnsi="Arial" w:cs="Arial"/>
        </w:rPr>
        <w:br/>
        <w:t xml:space="preserve">    </w:t>
      </w:r>
      <w:r w:rsidRPr="004B75ED">
        <w:rPr>
          <w:rFonts w:ascii="Arial" w:hAnsi="Arial" w:cs="Arial"/>
        </w:rPr>
        <w:tab/>
      </w:r>
      <w:r w:rsidR="00576EBB">
        <w:rPr>
          <w:rFonts w:ascii="Arial" w:hAnsi="Arial" w:cs="Arial"/>
        </w:rPr>
        <w:t xml:space="preserve">nutzungsplanerischen Festlegungen bei befristeter Ein-, Um- oder </w:t>
      </w:r>
      <w:proofErr w:type="spellStart"/>
      <w:r w:rsidR="00576EBB">
        <w:rPr>
          <w:rFonts w:ascii="Arial" w:hAnsi="Arial" w:cs="Arial"/>
        </w:rPr>
        <w:t>Aufzonung</w:t>
      </w:r>
      <w:proofErr w:type="spellEnd"/>
      <w:r w:rsidR="00576EBB">
        <w:rPr>
          <w:rFonts w:ascii="Arial" w:hAnsi="Arial" w:cs="Arial"/>
        </w:rPr>
        <w:t xml:space="preserve"> (Art. 19h </w:t>
      </w:r>
      <w:r w:rsidR="00576EBB">
        <w:rPr>
          <w:rFonts w:ascii="Arial" w:hAnsi="Arial" w:cs="Arial"/>
        </w:rPr>
        <w:br/>
        <w:t xml:space="preserve">  </w:t>
      </w:r>
      <w:r w:rsidR="00576EBB">
        <w:rPr>
          <w:rFonts w:ascii="Arial" w:hAnsi="Arial" w:cs="Arial"/>
        </w:rPr>
        <w:tab/>
        <w:t>Abs. 3 KRG)</w:t>
      </w:r>
    </w:p>
    <w:p w:rsidR="004B75ED" w:rsidRDefault="004B75ED" w:rsidP="004B75ED">
      <w:pPr>
        <w:pStyle w:val="Endnotentext"/>
        <w:tabs>
          <w:tab w:val="left" w:pos="567"/>
        </w:tabs>
        <w:ind w:left="284" w:hanging="284"/>
      </w:pPr>
    </w:p>
    <w:p w:rsidR="00E63483" w:rsidRDefault="00E63483" w:rsidP="00E63483">
      <w:pPr>
        <w:pStyle w:val="Endnotentext"/>
        <w:ind w:left="142" w:hanging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0E" w:rsidRDefault="00154A0E">
      <w:r>
        <w:separator/>
      </w:r>
    </w:p>
  </w:footnote>
  <w:footnote w:type="continuationSeparator" w:id="0">
    <w:p w:rsidR="00154A0E" w:rsidRDefault="0015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576EBB">
      <w:rPr>
        <w:noProof/>
        <w:sz w:val="16"/>
        <w:szCs w:val="16"/>
      </w:rPr>
      <w:t>2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3819EF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38349C" w:rsidRPr="00E63483">
      <w:rPr>
        <w:rFonts w:ascii="Arial" w:eastAsiaTheme="minorHAnsi" w:hAnsi="Arial" w:cs="Arial"/>
        <w:b/>
        <w:szCs w:val="16"/>
        <w:lang w:eastAsia="en-US"/>
      </w:rPr>
      <w:t>B</w:t>
    </w:r>
    <w:r w:rsidR="004B3669">
      <w:rPr>
        <w:rFonts w:ascii="Arial" w:eastAsiaTheme="minorHAnsi" w:hAnsi="Arial" w:cs="Arial"/>
        <w:b/>
        <w:szCs w:val="16"/>
        <w:lang w:eastAsia="en-US"/>
      </w:rPr>
      <w:t>15</w:t>
    </w:r>
  </w:p>
  <w:p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3819EF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>, Version Stand</w:t>
    </w:r>
    <w:r w:rsidR="00E63483">
      <w:rPr>
        <w:rFonts w:ascii="Arial" w:eastAsiaTheme="minorHAnsi" w:hAnsi="Arial" w:cs="Arial"/>
        <w:sz w:val="16"/>
        <w:szCs w:val="16"/>
        <w:lang w:eastAsia="en-US"/>
      </w:rPr>
      <w:t xml:space="preserve"> </w:t>
    </w:r>
    <w:r w:rsidR="00845F25">
      <w:rPr>
        <w:rFonts w:ascii="Arial" w:eastAsiaTheme="minorHAnsi" w:hAnsi="Arial" w:cs="Arial"/>
        <w:sz w:val="16"/>
        <w:szCs w:val="16"/>
        <w:lang w:eastAsia="en-US"/>
      </w:rPr>
      <w:t>03.01.2022</w:t>
    </w:r>
  </w:p>
  <w:p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82422"/>
    <w:rsid w:val="000B080B"/>
    <w:rsid w:val="00154A0E"/>
    <w:rsid w:val="00155A49"/>
    <w:rsid w:val="001A3CDB"/>
    <w:rsid w:val="001B3B85"/>
    <w:rsid w:val="001C076F"/>
    <w:rsid w:val="00202DC0"/>
    <w:rsid w:val="00270D8B"/>
    <w:rsid w:val="00302424"/>
    <w:rsid w:val="00324D22"/>
    <w:rsid w:val="003346ED"/>
    <w:rsid w:val="00346ADC"/>
    <w:rsid w:val="00347030"/>
    <w:rsid w:val="00370000"/>
    <w:rsid w:val="003819EF"/>
    <w:rsid w:val="0038349C"/>
    <w:rsid w:val="0039271A"/>
    <w:rsid w:val="00393F38"/>
    <w:rsid w:val="003A09F5"/>
    <w:rsid w:val="003A7B39"/>
    <w:rsid w:val="003A7E4A"/>
    <w:rsid w:val="003B4F45"/>
    <w:rsid w:val="003D2115"/>
    <w:rsid w:val="003D365A"/>
    <w:rsid w:val="00402695"/>
    <w:rsid w:val="0049385D"/>
    <w:rsid w:val="0049678D"/>
    <w:rsid w:val="004B3669"/>
    <w:rsid w:val="004B75ED"/>
    <w:rsid w:val="004F01DC"/>
    <w:rsid w:val="005306DA"/>
    <w:rsid w:val="00534337"/>
    <w:rsid w:val="0054544F"/>
    <w:rsid w:val="00546C62"/>
    <w:rsid w:val="00572DEF"/>
    <w:rsid w:val="00576EBB"/>
    <w:rsid w:val="00595F04"/>
    <w:rsid w:val="005A2E75"/>
    <w:rsid w:val="005C2C31"/>
    <w:rsid w:val="005E2BDA"/>
    <w:rsid w:val="005F25EE"/>
    <w:rsid w:val="005F3685"/>
    <w:rsid w:val="006815D9"/>
    <w:rsid w:val="0069055E"/>
    <w:rsid w:val="006C3DE4"/>
    <w:rsid w:val="006C51A2"/>
    <w:rsid w:val="006C7CD5"/>
    <w:rsid w:val="006F56BA"/>
    <w:rsid w:val="006F6B93"/>
    <w:rsid w:val="007172A2"/>
    <w:rsid w:val="008005FB"/>
    <w:rsid w:val="008028D4"/>
    <w:rsid w:val="00845F25"/>
    <w:rsid w:val="00893E86"/>
    <w:rsid w:val="008C1FB6"/>
    <w:rsid w:val="0091730A"/>
    <w:rsid w:val="00970DC9"/>
    <w:rsid w:val="009B57C0"/>
    <w:rsid w:val="009C60A0"/>
    <w:rsid w:val="009C733C"/>
    <w:rsid w:val="009D1030"/>
    <w:rsid w:val="009D55FF"/>
    <w:rsid w:val="00A23FF4"/>
    <w:rsid w:val="00A75351"/>
    <w:rsid w:val="00A85872"/>
    <w:rsid w:val="00AC1E0D"/>
    <w:rsid w:val="00AD466C"/>
    <w:rsid w:val="00AE0CF5"/>
    <w:rsid w:val="00AE2064"/>
    <w:rsid w:val="00AE74CC"/>
    <w:rsid w:val="00B175F3"/>
    <w:rsid w:val="00B35202"/>
    <w:rsid w:val="00B46B0C"/>
    <w:rsid w:val="00BD2539"/>
    <w:rsid w:val="00C12274"/>
    <w:rsid w:val="00C53D31"/>
    <w:rsid w:val="00C743E8"/>
    <w:rsid w:val="00CB1A0F"/>
    <w:rsid w:val="00CD23A2"/>
    <w:rsid w:val="00CF10B3"/>
    <w:rsid w:val="00D25AAC"/>
    <w:rsid w:val="00D27698"/>
    <w:rsid w:val="00D51084"/>
    <w:rsid w:val="00DC0582"/>
    <w:rsid w:val="00DC1DA1"/>
    <w:rsid w:val="00DE2BFE"/>
    <w:rsid w:val="00DF42B4"/>
    <w:rsid w:val="00E15B75"/>
    <w:rsid w:val="00E37C43"/>
    <w:rsid w:val="00E5691C"/>
    <w:rsid w:val="00E63483"/>
    <w:rsid w:val="00EB0300"/>
    <w:rsid w:val="00EB54C0"/>
    <w:rsid w:val="00EC2C0E"/>
    <w:rsid w:val="00EE2B15"/>
    <w:rsid w:val="00F16764"/>
    <w:rsid w:val="00F25426"/>
    <w:rsid w:val="00F42F3D"/>
    <w:rsid w:val="00F50D37"/>
    <w:rsid w:val="00F55ABD"/>
    <w:rsid w:val="00F727BA"/>
    <w:rsid w:val="00F80BA5"/>
    <w:rsid w:val="00FA367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60D0A26A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AC1E0D"/>
    <w:pPr>
      <w:spacing w:before="840" w:after="12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F55ABD"/>
    <w:pPr>
      <w:spacing w:after="240" w:line="312" w:lineRule="auto"/>
      <w:ind w:left="0"/>
      <w:jc w:val="both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  <w:style w:type="paragraph" w:styleId="Endnotentext">
    <w:name w:val="endnote text"/>
    <w:basedOn w:val="Standard"/>
    <w:link w:val="EndnotentextZchn"/>
    <w:unhideWhenUsed/>
    <w:rsid w:val="00E63483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E63483"/>
    <w:rPr>
      <w:rFonts w:ascii="Minion Web" w:hAnsi="Minion Web"/>
      <w:sz w:val="20"/>
      <w:lang w:val="de-CH" w:eastAsia="de-DE"/>
    </w:rPr>
  </w:style>
  <w:style w:type="character" w:styleId="Endnotenzeichen">
    <w:name w:val="endnote reference"/>
    <w:basedOn w:val="Absatz-Standardschriftart"/>
    <w:semiHidden/>
    <w:unhideWhenUsed/>
    <w:rsid w:val="00E63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320B-064D-4B2A-9977-F1A819122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92FEA-2A54-42D4-ADF4-BFCBEC0C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41EFC-84C2-489E-9639-609C70833B3D}">
  <ds:schemaRefs>
    <ds:schemaRef ds:uri="http://purl.org/dc/dcmitype/"/>
    <ds:schemaRef ds:uri="http://schemas.microsoft.com/office/2006/documentManagement/types"/>
    <ds:schemaRef ds:uri="http://purl.org/dc/elements/1.1/"/>
    <ds:schemaRef ds:uri="2d999939-2a46-46d1-8935-28b39244f330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9bbc5c3-42c9-4c30-b7a3-3f0c5e2a537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76BF65-30DF-4A4D-A7AD-0DC27D26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79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 einer rechtskräftigen Verfügung in Sachen Baulandmobilisierung_docx</vt:lpstr>
    </vt:vector>
  </TitlesOfParts>
  <Company>WinJur AG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einer rechtskräftigen Verfügung in Sachen Baulandmobilisierung_docx</dc:title>
  <dc:creator>Corina Caluori</dc:creator>
  <cp:lastModifiedBy>Broder Toni</cp:lastModifiedBy>
  <cp:revision>4</cp:revision>
  <cp:lastPrinted>2021-12-07T14:05:00Z</cp:lastPrinted>
  <dcterms:created xsi:type="dcterms:W3CDTF">2021-12-07T10:59:00Z</dcterms:created>
  <dcterms:modified xsi:type="dcterms:W3CDTF">2022-01-03T13:46:00Z</dcterms:modified>
  <cp:category>Baulandmobilisierung (BLM) nach Fristablauf der Überbauungspflicht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