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E8C48" w14:textId="77777777" w:rsidR="0069055E" w:rsidRPr="009B14BC" w:rsidRDefault="0069055E" w:rsidP="00F25426">
      <w:pPr>
        <w:spacing w:line="312" w:lineRule="auto"/>
        <w:rPr>
          <w:rFonts w:ascii="Arial" w:hAnsi="Arial" w:cs="Arial"/>
          <w:lang w:val="it-IT"/>
        </w:rPr>
      </w:pPr>
    </w:p>
    <w:p w14:paraId="7DB87221" w14:textId="77777777" w:rsidR="00F25426" w:rsidRPr="009B14BC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9B14BC">
        <w:rPr>
          <w:rFonts w:ascii="Arial" w:hAnsi="Arial"/>
          <w:lang w:val="it-IT"/>
        </w:rPr>
        <w:t>Comune di [</w:t>
      </w:r>
      <w:r w:rsidRPr="009B14BC">
        <w:rPr>
          <w:rFonts w:ascii="Arial" w:hAnsi="Arial"/>
          <w:highlight w:val="lightGray"/>
          <w:lang w:val="it-IT"/>
        </w:rPr>
        <w:t>…</w:t>
      </w:r>
      <w:r w:rsidRPr="009B14BC">
        <w:rPr>
          <w:rFonts w:ascii="Arial" w:hAnsi="Arial"/>
          <w:lang w:val="it-IT"/>
        </w:rPr>
        <w:t>]</w:t>
      </w:r>
    </w:p>
    <w:p w14:paraId="27FF633C" w14:textId="77777777" w:rsidR="00F25426" w:rsidRPr="009B14BC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9B14BC">
        <w:rPr>
          <w:rFonts w:ascii="Arial" w:hAnsi="Arial"/>
          <w:lang w:val="it-IT"/>
        </w:rPr>
        <w:t>[</w:t>
      </w:r>
      <w:r w:rsidRPr="009B14BC">
        <w:rPr>
          <w:rFonts w:ascii="Arial" w:hAnsi="Arial"/>
          <w:highlight w:val="lightGray"/>
          <w:lang w:val="it-IT"/>
        </w:rPr>
        <w:t>Indirizzo</w:t>
      </w:r>
      <w:r w:rsidRPr="009B14BC">
        <w:rPr>
          <w:rFonts w:ascii="Arial" w:hAnsi="Arial"/>
          <w:lang w:val="it-IT"/>
        </w:rPr>
        <w:t>]</w:t>
      </w:r>
    </w:p>
    <w:p w14:paraId="0B8EC965" w14:textId="77777777" w:rsidR="00F25426" w:rsidRPr="009B14BC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9B14BC">
        <w:rPr>
          <w:rFonts w:ascii="Arial" w:hAnsi="Arial"/>
          <w:lang w:val="it-IT"/>
        </w:rPr>
        <w:t>[</w:t>
      </w:r>
      <w:r w:rsidRPr="009B14BC">
        <w:rPr>
          <w:rFonts w:ascii="Arial" w:hAnsi="Arial"/>
          <w:highlight w:val="lightGray"/>
          <w:lang w:val="it-IT"/>
        </w:rPr>
        <w:t>NPA luogo</w:t>
      </w:r>
      <w:r w:rsidRPr="009B14BC">
        <w:rPr>
          <w:rFonts w:ascii="Arial" w:hAnsi="Arial"/>
          <w:lang w:val="it-IT"/>
        </w:rPr>
        <w:t>]</w:t>
      </w:r>
    </w:p>
    <w:p w14:paraId="7FD0DDF0" w14:textId="77777777" w:rsidR="00F25426" w:rsidRPr="009B14BC" w:rsidRDefault="00F25426" w:rsidP="00F25426">
      <w:pPr>
        <w:spacing w:line="312" w:lineRule="auto"/>
        <w:rPr>
          <w:rFonts w:ascii="Arial" w:hAnsi="Arial" w:cs="Arial"/>
          <w:lang w:val="it-IT"/>
        </w:rPr>
      </w:pPr>
    </w:p>
    <w:p w14:paraId="0ADF2D83" w14:textId="77777777" w:rsidR="00F25426" w:rsidRPr="009B14BC" w:rsidRDefault="00CB1A0F" w:rsidP="009B14BC">
      <w:pPr>
        <w:spacing w:line="312" w:lineRule="auto"/>
        <w:ind w:left="4956" w:right="-852" w:firstLine="708"/>
        <w:rPr>
          <w:rFonts w:ascii="Arial" w:hAnsi="Arial" w:cs="Arial"/>
          <w:lang w:val="it-IT"/>
        </w:rPr>
      </w:pPr>
      <w:r w:rsidRPr="009B14BC">
        <w:rPr>
          <w:rFonts w:ascii="Arial" w:hAnsi="Arial"/>
          <w:lang w:val="it-IT"/>
        </w:rPr>
        <w:t>Ufficio per lo sviluppo del territorio</w:t>
      </w:r>
    </w:p>
    <w:p w14:paraId="2EE1AEAB" w14:textId="77777777" w:rsidR="00F25426" w:rsidRPr="009B14BC" w:rsidRDefault="0069055E" w:rsidP="00F25426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9B14BC">
        <w:rPr>
          <w:rFonts w:ascii="Arial" w:hAnsi="Arial"/>
          <w:lang w:val="it-IT"/>
        </w:rPr>
        <w:t>Ringstrasse 10</w:t>
      </w:r>
    </w:p>
    <w:p w14:paraId="22F692D1" w14:textId="77777777" w:rsidR="00F25426" w:rsidRPr="009B14BC" w:rsidRDefault="00CB1A0F" w:rsidP="00F25426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9B14BC">
        <w:rPr>
          <w:rFonts w:ascii="Arial" w:hAnsi="Arial"/>
          <w:lang w:val="it-IT"/>
        </w:rPr>
        <w:t>7001 Coira</w:t>
      </w:r>
    </w:p>
    <w:p w14:paraId="686B1458" w14:textId="77777777" w:rsidR="00F25426" w:rsidRPr="009B14BC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6EF86B8D" w14:textId="77777777" w:rsidR="00F25426" w:rsidRPr="009B14BC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4B42FC87" w14:textId="77777777" w:rsidR="00F25426" w:rsidRPr="009B14BC" w:rsidRDefault="00F25426" w:rsidP="00F25426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9B14BC">
        <w:rPr>
          <w:rFonts w:ascii="Arial" w:hAnsi="Arial"/>
          <w:lang w:val="it-IT"/>
        </w:rPr>
        <w:t>[</w:t>
      </w:r>
      <w:r w:rsidRPr="009B14BC">
        <w:rPr>
          <w:rFonts w:ascii="Arial" w:hAnsi="Arial"/>
          <w:highlight w:val="lightGray"/>
          <w:lang w:val="it-IT"/>
        </w:rPr>
        <w:t>Luogo, data</w:t>
      </w:r>
      <w:r w:rsidRPr="009B14BC">
        <w:rPr>
          <w:rFonts w:ascii="Arial" w:hAnsi="Arial"/>
          <w:lang w:val="it-IT"/>
        </w:rPr>
        <w:t>]</w:t>
      </w:r>
    </w:p>
    <w:p w14:paraId="63DEAE11" w14:textId="77777777" w:rsidR="00F25426" w:rsidRPr="009B14BC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70C8B902" w14:textId="77777777" w:rsidR="00E63483" w:rsidRPr="009B14BC" w:rsidRDefault="00E63483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5F6E8513" w14:textId="77777777" w:rsidR="00B46B0C" w:rsidRPr="009B14BC" w:rsidRDefault="00F25426" w:rsidP="00576EBB">
      <w:pPr>
        <w:spacing w:line="312" w:lineRule="auto"/>
        <w:ind w:right="-285"/>
        <w:rPr>
          <w:rFonts w:ascii="Arial" w:hAnsi="Arial" w:cs="Arial"/>
          <w:b/>
          <w:lang w:val="it-IT"/>
        </w:rPr>
      </w:pPr>
      <w:r w:rsidRPr="009B14BC">
        <w:rPr>
          <w:rFonts w:ascii="Arial" w:hAnsi="Arial"/>
          <w:b/>
          <w:lang w:val="it-IT"/>
        </w:rPr>
        <w:t xml:space="preserve">Comunicazione di una decisione passata in giudicato in merito alla mobilitazione di terreni edificabili </w:t>
      </w:r>
    </w:p>
    <w:p w14:paraId="2DF413C7" w14:textId="77777777" w:rsidR="00B46B0C" w:rsidRPr="009B14B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07A78606" w14:textId="78CAF232" w:rsidR="00546C62" w:rsidRPr="009B14BC" w:rsidRDefault="00E63483" w:rsidP="00F55ABD">
      <w:pPr>
        <w:pStyle w:val="Haupttext2"/>
        <w:rPr>
          <w:lang w:val="it-IT"/>
        </w:rPr>
      </w:pPr>
      <w:r w:rsidRPr="009B14BC">
        <w:rPr>
          <w:lang w:val="it-IT"/>
        </w:rPr>
        <w:t>Con la presente Le inviamo per conoscenza l'allegata decisione di [</w:t>
      </w:r>
      <w:r w:rsidRPr="009B14BC">
        <w:rPr>
          <w:highlight w:val="lightGray"/>
          <w:lang w:val="it-IT"/>
        </w:rPr>
        <w:t>…</w:t>
      </w:r>
      <w:r w:rsidRPr="009B14BC">
        <w:rPr>
          <w:rStyle w:val="Rimandonotadichiusura"/>
          <w:highlight w:val="lightGray"/>
          <w:lang w:val="it-IT"/>
        </w:rPr>
        <w:endnoteReference w:id="1"/>
      </w:r>
      <w:r w:rsidRPr="009B14BC">
        <w:rPr>
          <w:lang w:val="it-IT"/>
        </w:rPr>
        <w:t xml:space="preserve">] passata in giudicato. </w:t>
      </w:r>
    </w:p>
    <w:p w14:paraId="40CD47A8" w14:textId="77777777" w:rsidR="00F55ABD" w:rsidRPr="009B14BC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1E42C9B5" w14:textId="77777777" w:rsidR="00B46B0C" w:rsidRPr="009B14BC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9B14BC">
        <w:rPr>
          <w:rFonts w:ascii="Arial" w:hAnsi="Arial"/>
          <w:sz w:val="22"/>
          <w:lang w:val="it-IT"/>
        </w:rPr>
        <w:t>Per il Comune</w:t>
      </w:r>
    </w:p>
    <w:p w14:paraId="0340D7C9" w14:textId="77777777" w:rsidR="00DF42B4" w:rsidRPr="009B14BC" w:rsidRDefault="00DF42B4" w:rsidP="00DF42B4">
      <w:pPr>
        <w:rPr>
          <w:rFonts w:ascii="Arial" w:hAnsi="Arial" w:cs="Arial"/>
          <w:sz w:val="10"/>
          <w:szCs w:val="22"/>
          <w:lang w:val="it-IT"/>
        </w:rPr>
      </w:pPr>
    </w:p>
    <w:p w14:paraId="69A2E1E1" w14:textId="77777777" w:rsidR="00DF42B4" w:rsidRPr="009B14BC" w:rsidRDefault="00DF42B4" w:rsidP="00DF42B4">
      <w:pPr>
        <w:rPr>
          <w:rFonts w:ascii="Arial" w:hAnsi="Arial" w:cs="Arial"/>
          <w:sz w:val="22"/>
          <w:szCs w:val="22"/>
          <w:lang w:val="it-IT"/>
        </w:rPr>
      </w:pPr>
    </w:p>
    <w:p w14:paraId="28C066DC" w14:textId="77777777" w:rsidR="00DF42B4" w:rsidRPr="009B14BC" w:rsidRDefault="00DF42B4" w:rsidP="00DF42B4">
      <w:pPr>
        <w:rPr>
          <w:rFonts w:ascii="Arial" w:hAnsi="Arial" w:cs="Arial"/>
          <w:sz w:val="22"/>
          <w:szCs w:val="22"/>
          <w:lang w:val="it-IT"/>
        </w:rPr>
      </w:pPr>
      <w:r w:rsidRPr="009B14BC">
        <w:rPr>
          <w:rFonts w:ascii="Arial" w:hAnsi="Arial"/>
          <w:sz w:val="22"/>
          <w:lang w:val="it-IT"/>
        </w:rPr>
        <w:t>__________________________</w:t>
      </w:r>
      <w:r w:rsidRPr="009B14BC">
        <w:rPr>
          <w:rFonts w:ascii="Arial" w:hAnsi="Arial"/>
          <w:sz w:val="22"/>
          <w:lang w:val="it-IT"/>
        </w:rPr>
        <w:tab/>
      </w:r>
      <w:r w:rsidRPr="009B14BC">
        <w:rPr>
          <w:rFonts w:ascii="Arial" w:hAnsi="Arial"/>
          <w:sz w:val="22"/>
          <w:lang w:val="it-IT"/>
        </w:rPr>
        <w:tab/>
      </w:r>
      <w:r w:rsidRPr="009B14BC">
        <w:rPr>
          <w:rFonts w:ascii="Arial" w:hAnsi="Arial"/>
          <w:sz w:val="22"/>
          <w:lang w:val="it-IT"/>
        </w:rPr>
        <w:tab/>
        <w:t>__________________________</w:t>
      </w:r>
    </w:p>
    <w:p w14:paraId="7836C289" w14:textId="77777777" w:rsidR="00DF42B4" w:rsidRPr="009B14BC" w:rsidRDefault="00DF42B4" w:rsidP="00DF42B4">
      <w:pPr>
        <w:rPr>
          <w:rFonts w:ascii="Arial" w:hAnsi="Arial" w:cs="Arial"/>
          <w:sz w:val="22"/>
          <w:szCs w:val="22"/>
          <w:lang w:val="it-IT"/>
        </w:rPr>
      </w:pPr>
    </w:p>
    <w:p w14:paraId="67D1FFF2" w14:textId="77777777" w:rsidR="00DF42B4" w:rsidRPr="009B14BC" w:rsidRDefault="00DF42B4" w:rsidP="00DF42B4">
      <w:pPr>
        <w:rPr>
          <w:rFonts w:ascii="Arial" w:hAnsi="Arial" w:cs="Arial"/>
          <w:sz w:val="22"/>
          <w:szCs w:val="22"/>
          <w:lang w:val="it-IT"/>
        </w:rPr>
      </w:pPr>
      <w:r w:rsidRPr="009B14BC">
        <w:rPr>
          <w:rFonts w:ascii="Arial" w:hAnsi="Arial"/>
          <w:sz w:val="22"/>
          <w:lang w:val="it-IT"/>
        </w:rPr>
        <w:t>[</w:t>
      </w:r>
      <w:r w:rsidRPr="009B14BC">
        <w:rPr>
          <w:rFonts w:ascii="Arial" w:hAnsi="Arial"/>
          <w:sz w:val="22"/>
          <w:highlight w:val="lightGray"/>
          <w:lang w:val="it-IT"/>
        </w:rPr>
        <w:t>Il sindaco/La sindaca</w:t>
      </w:r>
      <w:r w:rsidRPr="009B14BC">
        <w:rPr>
          <w:rFonts w:ascii="Arial" w:hAnsi="Arial"/>
          <w:sz w:val="22"/>
          <w:lang w:val="it-IT"/>
        </w:rPr>
        <w:t>]</w:t>
      </w:r>
      <w:r w:rsidRPr="009B14BC">
        <w:rPr>
          <w:rFonts w:ascii="Arial" w:hAnsi="Arial"/>
          <w:sz w:val="22"/>
          <w:lang w:val="it-IT"/>
        </w:rPr>
        <w:tab/>
      </w:r>
      <w:r w:rsidRPr="009B14BC">
        <w:rPr>
          <w:rFonts w:ascii="Arial" w:hAnsi="Arial"/>
          <w:sz w:val="22"/>
          <w:lang w:val="it-IT"/>
        </w:rPr>
        <w:tab/>
      </w:r>
      <w:r w:rsidRPr="009B14BC">
        <w:rPr>
          <w:rFonts w:ascii="Arial" w:hAnsi="Arial"/>
          <w:sz w:val="22"/>
          <w:lang w:val="it-IT"/>
        </w:rPr>
        <w:tab/>
        <w:t>[</w:t>
      </w:r>
      <w:r w:rsidRPr="009B14BC">
        <w:rPr>
          <w:rFonts w:ascii="Arial" w:hAnsi="Arial"/>
          <w:sz w:val="22"/>
          <w:highlight w:val="lightGray"/>
          <w:lang w:val="it-IT"/>
        </w:rPr>
        <w:t>Il segretario comunale/La segretaria comunale</w:t>
      </w:r>
      <w:r w:rsidRPr="009B14BC">
        <w:rPr>
          <w:rFonts w:ascii="Arial" w:hAnsi="Arial"/>
          <w:sz w:val="22"/>
          <w:lang w:val="it-IT"/>
        </w:rPr>
        <w:t>]</w:t>
      </w:r>
    </w:p>
    <w:p w14:paraId="7E54E29E" w14:textId="77777777" w:rsidR="00B46B0C" w:rsidRPr="009B14BC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1986C355" w14:textId="77777777" w:rsidR="00DF42B4" w:rsidRPr="009B14BC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62005823" w14:textId="77777777" w:rsidR="004B75ED" w:rsidRPr="009B14BC" w:rsidRDefault="004B75ED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424222C3" w14:textId="77777777" w:rsidR="004B75ED" w:rsidRPr="009B14BC" w:rsidRDefault="004B75ED" w:rsidP="004B7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9B14BC">
        <w:rPr>
          <w:rFonts w:ascii="Arial" w:hAnsi="Arial"/>
          <w:sz w:val="22"/>
          <w:u w:val="single"/>
          <w:lang w:val="it-IT"/>
        </w:rPr>
        <w:t>Indicazione d'uso:</w:t>
      </w:r>
      <w:r w:rsidRPr="009B14BC">
        <w:rPr>
          <w:rFonts w:ascii="Arial" w:hAnsi="Arial"/>
          <w:sz w:val="22"/>
          <w:lang w:val="it-IT"/>
        </w:rPr>
        <w:t xml:space="preserve"> questo modello rappresenta uno strumento ausiliario del Cantone. I passaggi di testo che devono essere integrati o precisati in ogni caso da parte del Comune vengono resi individuabili con i segnaposto messi tra parentesi quadre […] e si trovano su sfondo grigio.</w:t>
      </w:r>
    </w:p>
    <w:p w14:paraId="7E3C69D4" w14:textId="77777777" w:rsidR="00BD2539" w:rsidRPr="009B14BC" w:rsidRDefault="00BD2539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12"/>
          <w:szCs w:val="22"/>
          <w:lang w:val="it-IT" w:eastAsia="en-US"/>
        </w:rPr>
      </w:pPr>
    </w:p>
    <w:sectPr w:rsidR="00BD2539" w:rsidRPr="009B14BC" w:rsidSect="004B75ED">
      <w:headerReference w:type="default" r:id="rId11"/>
      <w:headerReference w:type="first" r:id="rId12"/>
      <w:endnotePr>
        <w:numFmt w:val="decimal"/>
      </w:endnotePr>
      <w:pgSz w:w="11906" w:h="16838" w:code="9"/>
      <w:pgMar w:top="1701" w:right="1701" w:bottom="85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8D589" w14:textId="77777777" w:rsidR="00154A0E" w:rsidRDefault="00154A0E">
      <w:r>
        <w:separator/>
      </w:r>
    </w:p>
  </w:endnote>
  <w:endnote w:type="continuationSeparator" w:id="0">
    <w:p w14:paraId="71BBF5F8" w14:textId="77777777" w:rsidR="00154A0E" w:rsidRDefault="00154A0E">
      <w:r>
        <w:continuationSeparator/>
      </w:r>
    </w:p>
  </w:endnote>
  <w:endnote w:id="1">
    <w:p w14:paraId="0AB0E99C" w14:textId="77777777" w:rsidR="004B75ED" w:rsidRPr="004B75ED" w:rsidRDefault="00E63483" w:rsidP="004B75ED">
      <w:pPr>
        <w:pStyle w:val="Testonotadichiusura"/>
        <w:tabs>
          <w:tab w:val="left" w:pos="567"/>
        </w:tabs>
        <w:spacing w:after="60"/>
        <w:ind w:left="284" w:right="-285" w:hanging="284"/>
        <w:rPr>
          <w:rFonts w:ascii="Arial" w:hAnsi="Arial" w:cs="Arial"/>
        </w:rPr>
      </w:pPr>
      <w:r>
        <w:rPr>
          <w:rStyle w:val="Rimandonotadichiusura"/>
        </w:rPr>
        <w:endnoteRef/>
      </w:r>
      <w:r>
        <w:t xml:space="preserve">   </w:t>
      </w:r>
      <w:r>
        <w:rPr>
          <w:rFonts w:ascii="Arial" w:hAnsi="Arial"/>
        </w:rPr>
        <w:tab/>
        <w:t xml:space="preserve">- </w:t>
      </w:r>
      <w:r>
        <w:rPr>
          <w:rFonts w:ascii="Arial" w:hAnsi="Arial"/>
        </w:rPr>
        <w:tab/>
      </w:r>
      <w:r>
        <w:rPr>
          <w:rFonts w:ascii="Arial" w:hAnsi="Arial"/>
          <w:b/>
        </w:rPr>
        <w:t>Decisione di accertamento</w:t>
      </w:r>
      <w:r>
        <w:rPr>
          <w:rFonts w:ascii="Arial" w:hAnsi="Arial"/>
        </w:rPr>
        <w:t xml:space="preserve"> concernente la scadenza del termine dell'obbligo di edificazione con concessione di un termine suppletorio</w:t>
      </w:r>
      <w:r>
        <w:rPr>
          <w:rFonts w:ascii="Arial" w:hAnsi="Arial"/>
        </w:rPr>
        <w:br/>
        <w:t xml:space="preserve">   </w:t>
      </w:r>
      <w:r>
        <w:rPr>
          <w:rFonts w:ascii="Arial" w:hAnsi="Arial"/>
        </w:rPr>
        <w:tab/>
        <w:t>(due anni) per l'edificazione (art. 19d cpv. 2 LPTC)</w:t>
      </w:r>
    </w:p>
    <w:p w14:paraId="3FFEAE0F" w14:textId="77777777" w:rsidR="004B75ED" w:rsidRPr="004B75ED" w:rsidRDefault="004B75ED" w:rsidP="004B75ED">
      <w:pPr>
        <w:pStyle w:val="Testonotadichiusura"/>
        <w:tabs>
          <w:tab w:val="left" w:pos="567"/>
        </w:tabs>
        <w:spacing w:after="60"/>
        <w:ind w:left="284" w:right="-427" w:hanging="284"/>
        <w:rPr>
          <w:rFonts w:ascii="Arial" w:hAnsi="Arial" w:cs="Arial"/>
        </w:rPr>
      </w:pPr>
      <w:r>
        <w:rPr>
          <w:rFonts w:ascii="Arial" w:hAnsi="Arial"/>
        </w:rPr>
        <w:tab/>
        <w:t xml:space="preserve">- </w:t>
      </w:r>
      <w:r>
        <w:rPr>
          <w:rFonts w:ascii="Arial" w:hAnsi="Arial"/>
        </w:rPr>
        <w:tab/>
      </w:r>
      <w:r>
        <w:rPr>
          <w:rFonts w:ascii="Arial" w:hAnsi="Arial"/>
          <w:b/>
        </w:rPr>
        <w:t>Decisione di accertamento</w:t>
      </w:r>
      <w:r>
        <w:rPr>
          <w:rFonts w:ascii="Arial" w:hAnsi="Arial"/>
        </w:rPr>
        <w:t xml:space="preserve"> concernente la scadenza del termine suppletorio e l'esercizio del diritto di compera (art. 19d LPTC)</w:t>
      </w:r>
    </w:p>
    <w:p w14:paraId="28684B9E" w14:textId="77777777" w:rsidR="004B75ED" w:rsidRPr="004B75ED" w:rsidRDefault="004B75ED" w:rsidP="004B75ED">
      <w:pPr>
        <w:pStyle w:val="Testonotadichiusura"/>
        <w:tabs>
          <w:tab w:val="left" w:pos="567"/>
        </w:tabs>
        <w:spacing w:after="60"/>
        <w:ind w:left="284" w:hanging="284"/>
        <w:rPr>
          <w:rFonts w:ascii="Arial" w:hAnsi="Arial" w:cs="Arial"/>
        </w:rPr>
      </w:pPr>
      <w:r>
        <w:rPr>
          <w:rFonts w:ascii="Arial" w:hAnsi="Arial"/>
        </w:rPr>
        <w:tab/>
        <w:t xml:space="preserve">- </w:t>
      </w:r>
      <w:r>
        <w:rPr>
          <w:rFonts w:ascii="Arial" w:hAnsi="Arial"/>
        </w:rPr>
        <w:tab/>
      </w:r>
      <w:r>
        <w:rPr>
          <w:rFonts w:ascii="Arial" w:hAnsi="Arial"/>
          <w:b/>
        </w:rPr>
        <w:t>Decisione di accertamento</w:t>
      </w:r>
      <w:r>
        <w:rPr>
          <w:rFonts w:ascii="Arial" w:hAnsi="Arial"/>
        </w:rPr>
        <w:t xml:space="preserve"> concernente la scadenza del termine relativo all'obbligo di edificazione e l'esclusione del fondo dalla zona edificabile (art. 19e LPTC)</w:t>
      </w:r>
    </w:p>
    <w:p w14:paraId="4429C1E4" w14:textId="77777777" w:rsidR="004B75ED" w:rsidRPr="004B75ED" w:rsidRDefault="004B75ED" w:rsidP="004B75ED">
      <w:pPr>
        <w:pStyle w:val="Testonotadichiusura"/>
        <w:tabs>
          <w:tab w:val="left" w:pos="567"/>
        </w:tabs>
        <w:spacing w:after="60"/>
        <w:ind w:left="284" w:hanging="284"/>
        <w:rPr>
          <w:rFonts w:ascii="Arial" w:hAnsi="Arial" w:cs="Arial"/>
        </w:rPr>
      </w:pPr>
      <w:r>
        <w:rPr>
          <w:rFonts w:ascii="Arial" w:hAnsi="Arial"/>
        </w:rPr>
        <w:tab/>
        <w:t xml:space="preserve">- </w:t>
      </w:r>
      <w:r>
        <w:rPr>
          <w:rFonts w:ascii="Arial" w:hAnsi="Arial"/>
        </w:rPr>
        <w:tab/>
      </w:r>
      <w:r>
        <w:rPr>
          <w:rFonts w:ascii="Arial" w:hAnsi="Arial"/>
          <w:b/>
        </w:rPr>
        <w:t>Decisione di proroga del termine</w:t>
      </w:r>
      <w:r>
        <w:rPr>
          <w:rFonts w:ascii="Arial" w:hAnsi="Arial"/>
        </w:rPr>
        <w:t xml:space="preserve"> concernente l'obbligo di edificazione in caso di azzonamenti, cambiamenti di destinazione o aumenti della densità edificatoria limitati nel tempo (art. 19h cpv. 2 LPTC)</w:t>
      </w:r>
    </w:p>
    <w:p w14:paraId="11002B56" w14:textId="77777777" w:rsidR="004B75ED" w:rsidRPr="004B75ED" w:rsidRDefault="004B75ED" w:rsidP="004B75ED">
      <w:pPr>
        <w:pStyle w:val="Testonotadichiusura"/>
        <w:tabs>
          <w:tab w:val="left" w:pos="567"/>
        </w:tabs>
        <w:spacing w:after="60"/>
        <w:ind w:left="284" w:hanging="284"/>
        <w:rPr>
          <w:rFonts w:ascii="Arial" w:hAnsi="Arial" w:cs="Arial"/>
        </w:rPr>
      </w:pPr>
      <w:r>
        <w:rPr>
          <w:rFonts w:ascii="Arial" w:hAnsi="Arial"/>
        </w:rPr>
        <w:tab/>
        <w:t xml:space="preserve">- </w:t>
      </w:r>
      <w:r>
        <w:rPr>
          <w:rFonts w:ascii="Arial" w:hAnsi="Arial"/>
        </w:rPr>
        <w:tab/>
      </w:r>
      <w:r>
        <w:rPr>
          <w:rFonts w:ascii="Arial" w:hAnsi="Arial"/>
          <w:b/>
        </w:rPr>
        <w:t>Decisione di accertamento</w:t>
      </w:r>
      <w:r>
        <w:rPr>
          <w:rFonts w:ascii="Arial" w:hAnsi="Arial"/>
        </w:rPr>
        <w:t xml:space="preserve"> concernente la scadenza del termine relativo all'obbligo di edificazione e la decadenza delle determinazioni di pianificazione delle utilizzazioni in caso di azzonamenti, cambiamenti di destinazione o aumenti della densità edificatoria limitati nel tempo (art. 19h cpv. 3 LPTC)</w:t>
      </w:r>
    </w:p>
    <w:p w14:paraId="4E8B3E1C" w14:textId="77777777" w:rsidR="004B75ED" w:rsidRDefault="004B75ED" w:rsidP="004B75ED">
      <w:pPr>
        <w:pStyle w:val="Testonotadichiusura"/>
        <w:tabs>
          <w:tab w:val="left" w:pos="567"/>
        </w:tabs>
        <w:ind w:left="284" w:hanging="284"/>
      </w:pPr>
    </w:p>
    <w:p w14:paraId="4EDA9708" w14:textId="77777777" w:rsidR="00E63483" w:rsidRDefault="00E63483" w:rsidP="00E63483">
      <w:pPr>
        <w:pStyle w:val="Testonotadichiusura"/>
        <w:ind w:left="142" w:hanging="1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4E5CB" w14:textId="77777777" w:rsidR="00154A0E" w:rsidRDefault="00154A0E">
      <w:r>
        <w:separator/>
      </w:r>
    </w:p>
  </w:footnote>
  <w:footnote w:type="continuationSeparator" w:id="0">
    <w:p w14:paraId="4059635E" w14:textId="77777777" w:rsidR="00154A0E" w:rsidRDefault="0015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7FBAC" w14:textId="77777777"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</w:rPr>
      <w:fldChar w:fldCharType="begin"/>
    </w:r>
    <w:r w:rsidRPr="00572DEF">
      <w:rPr>
        <w:sz w:val="16"/>
      </w:rPr>
      <w:instrText xml:space="preserve"> PAGE </w:instrText>
    </w:r>
    <w:r w:rsidRPr="00572DEF">
      <w:rPr>
        <w:sz w:val="16"/>
      </w:rPr>
      <w:fldChar w:fldCharType="separate"/>
    </w:r>
    <w:r w:rsidR="00576EBB">
      <w:rPr>
        <w:sz w:val="16"/>
      </w:rPr>
      <w:t>2</w:t>
    </w:r>
    <w:r w:rsidRPr="00572DEF"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4A056" w14:textId="77777777" w:rsidR="001B3B85" w:rsidRPr="003819EF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B15</w:t>
    </w:r>
  </w:p>
  <w:p w14:paraId="1007CBC7" w14:textId="77777777" w:rsidR="001B3B85" w:rsidRPr="001B3B85" w:rsidRDefault="009C733C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  <w:p w14:paraId="16213E2E" w14:textId="77777777" w:rsidR="0049385D" w:rsidRDefault="00493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Titolo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36605"/>
    <w:rsid w:val="00063B72"/>
    <w:rsid w:val="00082422"/>
    <w:rsid w:val="000B080B"/>
    <w:rsid w:val="00154A0E"/>
    <w:rsid w:val="00155A49"/>
    <w:rsid w:val="001A3CDB"/>
    <w:rsid w:val="001B3B85"/>
    <w:rsid w:val="001C076F"/>
    <w:rsid w:val="00202DC0"/>
    <w:rsid w:val="00270D8B"/>
    <w:rsid w:val="00302424"/>
    <w:rsid w:val="00324D22"/>
    <w:rsid w:val="003346ED"/>
    <w:rsid w:val="00346ADC"/>
    <w:rsid w:val="00347030"/>
    <w:rsid w:val="00370000"/>
    <w:rsid w:val="003819EF"/>
    <w:rsid w:val="0038349C"/>
    <w:rsid w:val="0039271A"/>
    <w:rsid w:val="00393F38"/>
    <w:rsid w:val="003A09F5"/>
    <w:rsid w:val="003A7B39"/>
    <w:rsid w:val="003A7E4A"/>
    <w:rsid w:val="003B4F45"/>
    <w:rsid w:val="003D2115"/>
    <w:rsid w:val="003D365A"/>
    <w:rsid w:val="0049385D"/>
    <w:rsid w:val="004B3669"/>
    <w:rsid w:val="004B75ED"/>
    <w:rsid w:val="004F01DC"/>
    <w:rsid w:val="005306DA"/>
    <w:rsid w:val="00534337"/>
    <w:rsid w:val="0054544F"/>
    <w:rsid w:val="00546C62"/>
    <w:rsid w:val="00572DEF"/>
    <w:rsid w:val="00576EBB"/>
    <w:rsid w:val="00595F04"/>
    <w:rsid w:val="005A2E75"/>
    <w:rsid w:val="005C2C31"/>
    <w:rsid w:val="005E2BDA"/>
    <w:rsid w:val="005F25EE"/>
    <w:rsid w:val="005F3685"/>
    <w:rsid w:val="006815D9"/>
    <w:rsid w:val="0069055E"/>
    <w:rsid w:val="006C3DE4"/>
    <w:rsid w:val="006C51A2"/>
    <w:rsid w:val="006C7CD5"/>
    <w:rsid w:val="006F56BA"/>
    <w:rsid w:val="006F6B93"/>
    <w:rsid w:val="007172A2"/>
    <w:rsid w:val="008005FB"/>
    <w:rsid w:val="008028D4"/>
    <w:rsid w:val="00893E86"/>
    <w:rsid w:val="008C1FB6"/>
    <w:rsid w:val="0091730A"/>
    <w:rsid w:val="00970DC9"/>
    <w:rsid w:val="009B14BC"/>
    <w:rsid w:val="009B57C0"/>
    <w:rsid w:val="009C60A0"/>
    <w:rsid w:val="009C733C"/>
    <w:rsid w:val="009D1030"/>
    <w:rsid w:val="009D55FF"/>
    <w:rsid w:val="00A23FF4"/>
    <w:rsid w:val="00A75351"/>
    <w:rsid w:val="00A85872"/>
    <w:rsid w:val="00AC1E0D"/>
    <w:rsid w:val="00AD466C"/>
    <w:rsid w:val="00AE0CF5"/>
    <w:rsid w:val="00AE2064"/>
    <w:rsid w:val="00AE74CC"/>
    <w:rsid w:val="00B175F3"/>
    <w:rsid w:val="00B35202"/>
    <w:rsid w:val="00B46B0C"/>
    <w:rsid w:val="00BD2539"/>
    <w:rsid w:val="00C12274"/>
    <w:rsid w:val="00C53D31"/>
    <w:rsid w:val="00C743E8"/>
    <w:rsid w:val="00CB1A0F"/>
    <w:rsid w:val="00CD23A2"/>
    <w:rsid w:val="00CF10B3"/>
    <w:rsid w:val="00D25AAC"/>
    <w:rsid w:val="00D27698"/>
    <w:rsid w:val="00D51084"/>
    <w:rsid w:val="00DC0582"/>
    <w:rsid w:val="00DC1DA1"/>
    <w:rsid w:val="00DE2BFE"/>
    <w:rsid w:val="00DF42B4"/>
    <w:rsid w:val="00E15B75"/>
    <w:rsid w:val="00E37C43"/>
    <w:rsid w:val="00E5691C"/>
    <w:rsid w:val="00E63483"/>
    <w:rsid w:val="00EB0300"/>
    <w:rsid w:val="00EB54C0"/>
    <w:rsid w:val="00EC2C0E"/>
    <w:rsid w:val="00EE2B15"/>
    <w:rsid w:val="00F16764"/>
    <w:rsid w:val="00F25426"/>
    <w:rsid w:val="00F42F3D"/>
    <w:rsid w:val="00F50D37"/>
    <w:rsid w:val="00F55ABD"/>
    <w:rsid w:val="00F727BA"/>
    <w:rsid w:val="00F80BA5"/>
    <w:rsid w:val="00FA367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'"/>
  <w:listSeparator w:val=";"/>
  <w14:docId w14:val="7BF66B3E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Titolo1">
    <w:name w:val="heading 1"/>
    <w:basedOn w:val="Normale"/>
    <w:next w:val="Normale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Titolo3">
    <w:name w:val="heading 3"/>
    <w:basedOn w:val="Normale"/>
    <w:next w:val="Normale"/>
    <w:link w:val="Titolo3Carattere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Titolo4">
    <w:name w:val="heading 4"/>
    <w:basedOn w:val="Haupttext2"/>
    <w:next w:val="Normale"/>
    <w:link w:val="Titolo4Carattere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F10B3"/>
    <w:pPr>
      <w:tabs>
        <w:tab w:val="center" w:pos="4536"/>
        <w:tab w:val="right" w:pos="9072"/>
      </w:tabs>
    </w:pPr>
  </w:style>
  <w:style w:type="paragraph" w:styleId="Pidipagina">
    <w:name w:val="footer"/>
    <w:basedOn w:val="Testonotaapidipagina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Testonotaapidipagina">
    <w:name w:val="footnote text"/>
    <w:basedOn w:val="Normale"/>
    <w:autoRedefine/>
    <w:semiHidden/>
    <w:rsid w:val="00EE2B15"/>
    <w:pPr>
      <w:ind w:left="142" w:hanging="142"/>
    </w:pPr>
    <w:rPr>
      <w:rFonts w:ascii="Arial" w:hAnsi="Arial" w:cs="Arial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B3B85"/>
    <w:rPr>
      <w:rFonts w:ascii="Arial" w:eastAsiaTheme="minorHAnsi" w:hAnsi="Arial" w:cs="Arial"/>
      <w:b/>
      <w:sz w:val="36"/>
      <w:szCs w:val="36"/>
      <w:lang w:val="it-CH" w:eastAsia="en-US"/>
    </w:rPr>
  </w:style>
  <w:style w:type="character" w:customStyle="1" w:styleId="Titolo3Carattere">
    <w:name w:val="Titolo 3 Carattere"/>
    <w:basedOn w:val="Carpredefinitoparagrafo"/>
    <w:link w:val="Titolo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Titolo4Carattere">
    <w:name w:val="Titolo 4 Carattere"/>
    <w:basedOn w:val="Carpredefinitoparagrafo"/>
    <w:link w:val="Titolo4"/>
    <w:rsid w:val="00970DC9"/>
    <w:rPr>
      <w:rFonts w:ascii="Arial" w:eastAsiaTheme="minorHAnsi" w:hAnsi="Arial" w:cs="Arial"/>
      <w:b/>
      <w:sz w:val="28"/>
      <w:szCs w:val="28"/>
      <w:lang w:val="it-CH" w:eastAsia="en-US"/>
    </w:rPr>
  </w:style>
  <w:style w:type="paragraph" w:customStyle="1" w:styleId="HaupttextAufzhlung">
    <w:name w:val="Haupttext Aufzählung"/>
    <w:basedOn w:val="Normale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Testonotaapidipagina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Paragrafoelenco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Titolo5Carattere">
    <w:name w:val="Titolo 5 Carattere"/>
    <w:basedOn w:val="Carpredefinitoparagrafo"/>
    <w:link w:val="Titolo5"/>
    <w:rsid w:val="00D25AAC"/>
    <w:rPr>
      <w:rFonts w:ascii="Verdana" w:hAnsi="Verdana"/>
      <w:i/>
      <w:sz w:val="18"/>
      <w:lang w:val="it-CH" w:eastAsia="de-CH"/>
    </w:rPr>
  </w:style>
  <w:style w:type="character" w:customStyle="1" w:styleId="IntestazioneCarattere">
    <w:name w:val="Intestazione Carattere"/>
    <w:basedOn w:val="Carpredefinitoparagrafo"/>
    <w:link w:val="Intestazione"/>
    <w:rsid w:val="0049385D"/>
    <w:rPr>
      <w:rFonts w:ascii="Minion Web" w:hAnsi="Minion Web"/>
      <w:lang w:val="it-CH" w:eastAsia="de-DE"/>
    </w:rPr>
  </w:style>
  <w:style w:type="paragraph" w:styleId="Testofumetto">
    <w:name w:val="Balloon Text"/>
    <w:basedOn w:val="Normale"/>
    <w:link w:val="TestofumettoCarattere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D1030"/>
    <w:rPr>
      <w:rFonts w:ascii="Segoe UI" w:hAnsi="Segoe UI" w:cs="Segoe UI"/>
      <w:sz w:val="18"/>
      <w:szCs w:val="18"/>
      <w:lang w:val="it-CH" w:eastAsia="de-DE"/>
    </w:rPr>
  </w:style>
  <w:style w:type="character" w:styleId="Rimandocommento">
    <w:name w:val="annotation reference"/>
    <w:basedOn w:val="Carpredefinitoparagrafo"/>
    <w:semiHidden/>
    <w:unhideWhenUsed/>
    <w:rsid w:val="00A7535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75351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5351"/>
    <w:rPr>
      <w:rFonts w:ascii="Minion Web" w:hAnsi="Minion Web"/>
      <w:sz w:val="20"/>
      <w:lang w:val="it-CH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753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75351"/>
    <w:rPr>
      <w:rFonts w:ascii="Minion Web" w:hAnsi="Minion Web"/>
      <w:b/>
      <w:bCs/>
      <w:sz w:val="20"/>
      <w:lang w:val="it-CH" w:eastAsia="de-DE"/>
    </w:rPr>
  </w:style>
  <w:style w:type="character" w:styleId="Rimandonotaapidipagina">
    <w:name w:val="footnote reference"/>
    <w:basedOn w:val="Carpredefinitoparagrafo"/>
    <w:semiHidden/>
    <w:unhideWhenUsed/>
    <w:rsid w:val="00EE2B15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63483"/>
    <w:pPr>
      <w:spacing w:line="240" w:lineRule="auto"/>
    </w:pPr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63483"/>
    <w:rPr>
      <w:rFonts w:ascii="Minion Web" w:hAnsi="Minion Web"/>
      <w:sz w:val="20"/>
      <w:lang w:val="it-CH" w:eastAsia="de-DE"/>
    </w:rPr>
  </w:style>
  <w:style w:type="character" w:styleId="Rimandonotadichiusura">
    <w:name w:val="endnote reference"/>
    <w:basedOn w:val="Carpredefinitoparagrafo"/>
    <w:semiHidden/>
    <w:unhideWhenUsed/>
    <w:rsid w:val="00E63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41EFC-84C2-489E-9639-609C70833B3D}"/>
</file>

<file path=customXml/itemProps2.xml><?xml version="1.0" encoding="utf-8"?>
<ds:datastoreItem xmlns:ds="http://schemas.openxmlformats.org/officeDocument/2006/customXml" ds:itemID="{1B27320B-064D-4B2A-9977-F1A819122F5A}"/>
</file>

<file path=customXml/itemProps3.xml><?xml version="1.0" encoding="utf-8"?>
<ds:datastoreItem xmlns:ds="http://schemas.openxmlformats.org/officeDocument/2006/customXml" ds:itemID="{B7CF58AF-C82B-405C-975A-153CADEAF38F}"/>
</file>

<file path=customXml/itemProps4.xml><?xml version="1.0" encoding="utf-8"?>
<ds:datastoreItem xmlns:ds="http://schemas.openxmlformats.org/officeDocument/2006/customXml" ds:itemID="{F6D9BB83-030F-466B-BEDA-56F1C1FA7D8E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108</Words>
  <Characters>650</Characters>
  <Application>Microsoft Office Word</Application>
  <DocSecurity>0</DocSecurity>
  <Lines>10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Rechnungsstellung per Verfügung bei Fälligkeitsgrund Überbauung (Art. 19n KRG, Art. 35m Abs. 1 KRVO)</vt:lpstr>
    </vt:vector>
  </TitlesOfParts>
  <Company>WinJur AG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del Comune all'UST-GR: comunicazione delle decisioni passate in giudicato</dc:title>
  <dc:creator>Corina Caluori</dc:creator>
  <cp:lastModifiedBy>Romana</cp:lastModifiedBy>
  <cp:revision>16</cp:revision>
  <cp:lastPrinted>2020-05-28T15:36:00Z</cp:lastPrinted>
  <dcterms:created xsi:type="dcterms:W3CDTF">2020-04-24T09:52:00Z</dcterms:created>
  <dcterms:modified xsi:type="dcterms:W3CDTF">2021-02-03T09:07:00Z</dcterms:modified>
  <cp:category>Mobilitazione di terreni edificabili (MTE) una volta decorso il termine dell'obbligo di edificazione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