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E08E0" w14:textId="77777777" w:rsidR="00681B54" w:rsidRDefault="00681B54" w:rsidP="00681B54">
      <w:pPr>
        <w:spacing w:after="0" w:line="312" w:lineRule="auto"/>
        <w:rPr>
          <w:rFonts w:ascii="Arial" w:hAnsi="Arial" w:cs="Arial"/>
          <w:b/>
        </w:rPr>
      </w:pPr>
    </w:p>
    <w:p w14:paraId="7517352A" w14:textId="77777777" w:rsidR="00F27827" w:rsidRDefault="00F27827" w:rsidP="00681B54">
      <w:pPr>
        <w:spacing w:after="0" w:line="312" w:lineRule="auto"/>
        <w:rPr>
          <w:rFonts w:ascii="Arial" w:hAnsi="Arial" w:cs="Arial"/>
          <w:b/>
        </w:rPr>
      </w:pPr>
    </w:p>
    <w:p w14:paraId="165F8A84" w14:textId="77777777" w:rsidR="00681B54" w:rsidRDefault="00681B54" w:rsidP="00681B54">
      <w:pPr>
        <w:spacing w:after="0" w:line="312" w:lineRule="auto"/>
        <w:rPr>
          <w:rFonts w:ascii="Arial" w:hAnsi="Arial" w:cs="Arial"/>
          <w:b/>
        </w:rPr>
      </w:pPr>
    </w:p>
    <w:p w14:paraId="6A519FF9" w14:textId="77777777" w:rsidR="00A14DB6" w:rsidRDefault="00A14DB6" w:rsidP="00681B54">
      <w:pPr>
        <w:spacing w:after="0" w:line="312" w:lineRule="auto"/>
        <w:rPr>
          <w:rFonts w:ascii="Arial" w:hAnsi="Arial" w:cs="Arial"/>
          <w:b/>
        </w:rPr>
      </w:pPr>
    </w:p>
    <w:p w14:paraId="5873123C" w14:textId="77777777" w:rsidR="00A14DB6" w:rsidRDefault="00A14DB6" w:rsidP="00681B54">
      <w:pPr>
        <w:spacing w:after="0" w:line="312" w:lineRule="auto"/>
        <w:rPr>
          <w:rFonts w:ascii="Arial" w:hAnsi="Arial" w:cs="Arial"/>
          <w:b/>
        </w:rPr>
      </w:pPr>
    </w:p>
    <w:p w14:paraId="518F6E86" w14:textId="77777777" w:rsidR="009A43A7" w:rsidRDefault="009A43A7" w:rsidP="007F330F">
      <w:pPr>
        <w:spacing w:after="240" w:line="312" w:lineRule="auto"/>
        <w:jc w:val="center"/>
        <w:rPr>
          <w:rFonts w:ascii="Arial" w:hAnsi="Arial" w:cs="Arial"/>
          <w:b/>
          <w:sz w:val="40"/>
          <w:szCs w:val="40"/>
        </w:rPr>
      </w:pPr>
      <w:r>
        <w:rPr>
          <w:rFonts w:ascii="Arial" w:hAnsi="Arial"/>
          <w:b/>
          <w:sz w:val="40"/>
        </w:rPr>
        <w:t xml:space="preserve">Decisione di accertamento </w:t>
      </w:r>
    </w:p>
    <w:p w14:paraId="068FE5A5" w14:textId="77777777" w:rsidR="007F330F" w:rsidRPr="009A43A7" w:rsidRDefault="009A43A7" w:rsidP="007F330F">
      <w:pPr>
        <w:spacing w:after="240" w:line="312" w:lineRule="auto"/>
        <w:jc w:val="center"/>
        <w:rPr>
          <w:rFonts w:ascii="Arial" w:hAnsi="Arial" w:cs="Arial"/>
          <w:b/>
        </w:rPr>
      </w:pPr>
      <w:r>
        <w:rPr>
          <w:rFonts w:ascii="Arial" w:hAnsi="Arial"/>
          <w:b/>
        </w:rPr>
        <w:t xml:space="preserve">Scadenza del termine suppletorio concernente l'obbligo di costruire </w:t>
      </w:r>
      <w:r>
        <w:rPr>
          <w:rFonts w:ascii="Arial" w:hAnsi="Arial"/>
          <w:b/>
        </w:rPr>
        <w:br/>
        <w:t>secondo l'art. 19c cpv. 1 LPTC</w:t>
      </w:r>
    </w:p>
    <w:p w14:paraId="5969B20C" w14:textId="77777777" w:rsidR="009A43A7" w:rsidRPr="009A43A7" w:rsidRDefault="00DB062C" w:rsidP="007F330F">
      <w:pPr>
        <w:spacing w:after="0" w:line="312" w:lineRule="auto"/>
        <w:jc w:val="center"/>
        <w:rPr>
          <w:rFonts w:ascii="Arial" w:hAnsi="Arial" w:cs="Arial"/>
          <w:b/>
          <w:sz w:val="40"/>
          <w:szCs w:val="40"/>
        </w:rPr>
      </w:pPr>
      <w:r>
        <w:rPr>
          <w:rFonts w:ascii="Arial" w:hAnsi="Arial"/>
          <w:b/>
          <w:sz w:val="40"/>
        </w:rPr>
        <w:t xml:space="preserve">Esercizio del diritto di compera </w:t>
      </w:r>
    </w:p>
    <w:p w14:paraId="46E05EA9" w14:textId="77777777" w:rsidR="007F330F" w:rsidRDefault="00DB062C" w:rsidP="007F330F">
      <w:pPr>
        <w:spacing w:after="0" w:line="312" w:lineRule="auto"/>
        <w:jc w:val="center"/>
        <w:rPr>
          <w:rFonts w:ascii="Arial" w:hAnsi="Arial" w:cs="Arial"/>
          <w:b/>
        </w:rPr>
      </w:pPr>
      <w:r>
        <w:rPr>
          <w:rFonts w:ascii="Arial" w:hAnsi="Arial"/>
          <w:b/>
        </w:rPr>
        <w:t>secondo l'art. 19d LPTC</w:t>
      </w:r>
    </w:p>
    <w:p w14:paraId="289C4D3E" w14:textId="77777777" w:rsidR="001057C0" w:rsidRDefault="001057C0" w:rsidP="00681B54">
      <w:pPr>
        <w:spacing w:after="0" w:line="312" w:lineRule="auto"/>
        <w:rPr>
          <w:rFonts w:ascii="Arial" w:hAnsi="Arial" w:cs="Arial"/>
          <w:b/>
        </w:rPr>
      </w:pPr>
    </w:p>
    <w:p w14:paraId="0F4C00D1" w14:textId="77777777" w:rsidR="00A14DB6" w:rsidRPr="00A14DB6" w:rsidRDefault="00A14DB6" w:rsidP="00681B54">
      <w:pPr>
        <w:spacing w:after="0" w:line="312" w:lineRule="auto"/>
        <w:rPr>
          <w:rFonts w:ascii="Arial" w:hAnsi="Arial" w:cs="Arial"/>
        </w:rPr>
      </w:pPr>
    </w:p>
    <w:p w14:paraId="71C81BBA" w14:textId="77777777" w:rsidR="007F330F" w:rsidRDefault="007F330F" w:rsidP="00DB062C">
      <w:pPr>
        <w:pStyle w:val="Haupttext2"/>
      </w:pPr>
      <w:r>
        <w:t>In data [</w:t>
      </w:r>
      <w:r>
        <w:rPr>
          <w:highlight w:val="lightGray"/>
        </w:rPr>
        <w:t>…</w:t>
      </w:r>
      <w:r>
        <w:t>] gli aventi diritto di voto del Comune di [</w:t>
      </w:r>
      <w:r>
        <w:rPr>
          <w:highlight w:val="lightGray"/>
        </w:rPr>
        <w:t>…</w:t>
      </w:r>
      <w:r>
        <w:t>] hanno deciso la [</w:t>
      </w:r>
      <w:r>
        <w:rPr>
          <w:highlight w:val="lightGray"/>
        </w:rPr>
        <w:t>revisione della pianificazione locale</w:t>
      </w:r>
      <w:r>
        <w:t>].</w:t>
      </w:r>
    </w:p>
    <w:p w14:paraId="24DCAB8D" w14:textId="77777777" w:rsidR="007F330F" w:rsidRDefault="007F330F" w:rsidP="00DB062C">
      <w:pPr>
        <w:pStyle w:val="Haupttext2"/>
      </w:pPr>
      <w:r>
        <w:t>Con decreto n. [</w:t>
      </w:r>
      <w:r>
        <w:rPr>
          <w:highlight w:val="lightGray"/>
        </w:rPr>
        <w:t>…</w:t>
      </w:r>
      <w:r>
        <w:t>] del [</w:t>
      </w:r>
      <w:r>
        <w:rPr>
          <w:highlight w:val="lightGray"/>
        </w:rPr>
        <w:t>…</w:t>
      </w:r>
      <w:r>
        <w:t>] il Governo ha approvato la revisione della pianificazione locale.</w:t>
      </w:r>
    </w:p>
    <w:p w14:paraId="40AE192A" w14:textId="77777777" w:rsidR="007F330F" w:rsidRDefault="007F330F" w:rsidP="00DB062C">
      <w:pPr>
        <w:pStyle w:val="Haupttext2"/>
      </w:pPr>
      <w:r>
        <w:t>Il decreto di approvazione del Governo e con esso la revisione della pianificazione locale sono passati in giudicato.</w:t>
      </w:r>
    </w:p>
    <w:p w14:paraId="72082B09" w14:textId="77777777" w:rsidR="00DB062C" w:rsidRDefault="00DB062C" w:rsidP="00DB062C">
      <w:pPr>
        <w:pStyle w:val="Haupttext2"/>
      </w:pPr>
      <w:r>
        <w:t>Nel quadro della revisione [</w:t>
      </w:r>
      <w:r>
        <w:rPr>
          <w:highlight w:val="lightGray"/>
        </w:rPr>
        <w:t>parziale</w:t>
      </w:r>
      <w:r>
        <w:t>] della [</w:t>
      </w:r>
      <w:r>
        <w:rPr>
          <w:highlight w:val="lightGray"/>
        </w:rPr>
        <w:t>pianificazione locale</w:t>
      </w:r>
      <w:r>
        <w:t>], il Comune ha assegnato il fondo n. [</w:t>
      </w:r>
      <w:r>
        <w:rPr>
          <w:highlight w:val="lightGray"/>
        </w:rPr>
        <w:t>…</w:t>
      </w:r>
      <w:r>
        <w:t xml:space="preserve">] a una zona edificabile. </w:t>
      </w:r>
    </w:p>
    <w:p w14:paraId="3E67DCC0" w14:textId="77777777" w:rsidR="00DB062C" w:rsidRDefault="00DB062C" w:rsidP="00DB062C">
      <w:pPr>
        <w:pStyle w:val="Haupttext2"/>
      </w:pPr>
      <w:r>
        <w:t>Con decisione del [</w:t>
      </w:r>
      <w:r>
        <w:rPr>
          <w:highlight w:val="lightGray"/>
        </w:rPr>
        <w:t>…</w:t>
      </w:r>
      <w:r>
        <w:t>] il Comune ha accertato che l'obbligo di costruire conformemente all'art. 19c cpv. 1 LPTC non è stato adempiuto entro il termine previsto. Questa decisione è passata in giudicato in data [</w:t>
      </w:r>
      <w:r>
        <w:rPr>
          <w:highlight w:val="lightGray"/>
        </w:rPr>
        <w:t>data</w:t>
      </w:r>
      <w:r>
        <w:t>].</w:t>
      </w:r>
    </w:p>
    <w:p w14:paraId="318C7B8E" w14:textId="77777777" w:rsidR="00DB062C" w:rsidRDefault="00DB062C" w:rsidP="00DB062C">
      <w:pPr>
        <w:pStyle w:val="Haupttext2"/>
      </w:pPr>
      <w:r>
        <w:t>Con la stessa decisione del [</w:t>
      </w:r>
      <w:r>
        <w:rPr>
          <w:highlight w:val="lightGray"/>
        </w:rPr>
        <w:t>data</w:t>
      </w:r>
      <w:r>
        <w:t>] il Comune ha concesso un termine suppletorio pari a due anni per permettere un adempimento successivo dell'obbligo di costruire secondo l'art. 19c cpv. 1 LPTC.</w:t>
      </w:r>
    </w:p>
    <w:p w14:paraId="756CCD33" w14:textId="7724546C" w:rsidR="00DB062C" w:rsidRDefault="007C22DA" w:rsidP="00DB062C">
      <w:pPr>
        <w:pStyle w:val="Haupttext2"/>
      </w:pPr>
      <w:r>
        <w:t>Una bozza della presente decisione è stata inviata [</w:t>
      </w:r>
      <w:r>
        <w:rPr>
          <w:highlight w:val="lightGray"/>
        </w:rPr>
        <w:t>al/alla proprietario/a del fondo oppure al/alla titolare del diritto di superficie</w:t>
      </w:r>
      <w:r>
        <w:t>] il [</w:t>
      </w:r>
      <w:r>
        <w:rPr>
          <w:highlight w:val="lightGray"/>
        </w:rPr>
        <w:t>…</w:t>
      </w:r>
      <w:r>
        <w:t>]. Entro il termine stabilito [</w:t>
      </w:r>
      <w:r>
        <w:rPr>
          <w:highlight w:val="lightGray"/>
        </w:rPr>
        <w:t>il signor.../la signora...</w:t>
      </w:r>
      <w:r>
        <w:t>] ha presentato una presa di posizione nella quale ha spiegato in sostanza che [</w:t>
      </w:r>
      <w:r>
        <w:rPr>
          <w:highlight w:val="lightGray"/>
        </w:rPr>
        <w:t>…</w:t>
      </w:r>
      <w:r>
        <w:t>].</w:t>
      </w:r>
    </w:p>
    <w:p w14:paraId="6A091CD4" w14:textId="77777777" w:rsidR="000023AF" w:rsidRDefault="000023AF">
      <w:pPr>
        <w:spacing w:after="0" w:line="240" w:lineRule="auto"/>
        <w:rPr>
          <w:rFonts w:ascii="Arial" w:eastAsia="Times New Roman" w:hAnsi="Arial" w:cs="Arial"/>
          <w:b/>
          <w:sz w:val="28"/>
          <w:szCs w:val="28"/>
        </w:rPr>
      </w:pPr>
      <w:r>
        <w:br w:type="page"/>
      </w:r>
    </w:p>
    <w:p w14:paraId="7AA3E23B" w14:textId="77777777" w:rsidR="007C22DA" w:rsidRPr="007C22DA" w:rsidRDefault="007C22DA" w:rsidP="00DB062C">
      <w:pPr>
        <w:pStyle w:val="berschrift4"/>
        <w:keepLines w:val="0"/>
        <w:spacing w:before="480" w:after="360" w:line="312" w:lineRule="auto"/>
        <w:rPr>
          <w:rFonts w:ascii="Arial" w:eastAsia="Times New Roman" w:hAnsi="Arial" w:cs="Arial"/>
          <w:b/>
          <w:i w:val="0"/>
          <w:iCs w:val="0"/>
          <w:color w:val="auto"/>
          <w:sz w:val="28"/>
          <w:szCs w:val="28"/>
        </w:rPr>
      </w:pPr>
      <w:proofErr w:type="spellStart"/>
      <w:r>
        <w:rPr>
          <w:rFonts w:ascii="Arial" w:hAnsi="Arial"/>
          <w:b/>
          <w:i w:val="0"/>
          <w:color w:val="auto"/>
          <w:sz w:val="28"/>
        </w:rPr>
        <w:lastRenderedPageBreak/>
        <w:t>Considerandi</w:t>
      </w:r>
      <w:proofErr w:type="spellEnd"/>
    </w:p>
    <w:p w14:paraId="7C2ADCE1" w14:textId="77777777" w:rsidR="00224B69" w:rsidRPr="00224B69" w:rsidRDefault="00224B69" w:rsidP="00224B69">
      <w:pPr>
        <w:pStyle w:val="berschrift1"/>
      </w:pPr>
      <w:r>
        <w:t>Scadenza del termine suppletorio</w:t>
      </w:r>
    </w:p>
    <w:p w14:paraId="13688FDD" w14:textId="77777777" w:rsidR="007C22DA" w:rsidRDefault="00CA7AC2" w:rsidP="00DB062C">
      <w:pPr>
        <w:pStyle w:val="Haupttext2"/>
        <w:numPr>
          <w:ilvl w:val="0"/>
          <w:numId w:val="10"/>
        </w:numPr>
        <w:ind w:left="567" w:hanging="567"/>
      </w:pPr>
      <w:r>
        <w:t>Secondo l'art. 19c cpv. 1 LPTC, i fondi assegnati a titolo di novità a una zona edificabile dopo il 1° aprile 2019 devono essere edificati entro un termine di [</w:t>
      </w:r>
      <w:r>
        <w:rPr>
          <w:highlight w:val="lightGray"/>
        </w:rPr>
        <w:t>otto</w:t>
      </w:r>
      <w:r>
        <w:t>]</w:t>
      </w:r>
      <w:r>
        <w:rPr>
          <w:rStyle w:val="Funotenzeichen"/>
        </w:rPr>
        <w:footnoteReference w:id="1"/>
      </w:r>
      <w:r>
        <w:t xml:space="preserve"> anni dal passaggio in giudicato dell'azzonamento. Per il rispetto del termine dell'obbligo di costruire risulta determinante l'inizio dei lavori (art. 19c cpv. 4 LPTC). </w:t>
      </w:r>
    </w:p>
    <w:p w14:paraId="2D63C8F5" w14:textId="77777777" w:rsidR="003E6F4C" w:rsidRDefault="00085AC2" w:rsidP="00DB062C">
      <w:pPr>
        <w:pStyle w:val="Haupttext2"/>
      </w:pPr>
      <w:r>
        <w:t>Con la pianificazione locale passata in giudicato il [</w:t>
      </w:r>
      <w:r>
        <w:rPr>
          <w:highlight w:val="lightGray"/>
        </w:rPr>
        <w:t>…</w:t>
      </w:r>
      <w:r>
        <w:t>], il fondo n. [</w:t>
      </w:r>
      <w:r>
        <w:rPr>
          <w:highlight w:val="lightGray"/>
        </w:rPr>
        <w:t>…</w:t>
      </w:r>
      <w:r>
        <w:t>] è stato assegnato a una zona edificabile (azzonamento). L'edificazione del fondo n. [</w:t>
      </w:r>
      <w:r>
        <w:rPr>
          <w:highlight w:val="lightGray"/>
        </w:rPr>
        <w:t>…</w:t>
      </w:r>
      <w:r>
        <w:t>] avrebbe dunque dovuto avvenire entro un termine di [</w:t>
      </w:r>
      <w:r>
        <w:rPr>
          <w:highlight w:val="lightGray"/>
        </w:rPr>
        <w:t>otto</w:t>
      </w:r>
      <w:r>
        <w:t>]</w:t>
      </w:r>
      <w:r w:rsidR="00CA7AC2">
        <w:rPr>
          <w:rStyle w:val="Funotenzeichen"/>
        </w:rPr>
        <w:footnoteReference w:id="2"/>
      </w:r>
      <w:r>
        <w:t xml:space="preserve"> anni dal passaggio in giudicato dell'azzonamento, ovvero entro il [</w:t>
      </w:r>
      <w:r>
        <w:rPr>
          <w:highlight w:val="lightGray"/>
        </w:rPr>
        <w:t>data</w:t>
      </w:r>
      <w:r>
        <w:t xml:space="preserve">]; ai fini del rispetto del termine dell'obbligo di costruire risulta determinante l'inizio dei lavori. </w:t>
      </w:r>
    </w:p>
    <w:p w14:paraId="68213744" w14:textId="77777777" w:rsidR="001B6E0E" w:rsidRDefault="001B6E0E" w:rsidP="00DB062C">
      <w:pPr>
        <w:pStyle w:val="Haupttext2"/>
      </w:pPr>
      <w:r>
        <w:t>Con decisione del [</w:t>
      </w:r>
      <w:r>
        <w:rPr>
          <w:highlight w:val="lightGray"/>
        </w:rPr>
        <w:t>…</w:t>
      </w:r>
      <w:r>
        <w:t>] il Comune ha accertato che l'obbligo di costruire conformemente all'art. 19c cpv. 1 LPTC non è stato adempiuto entro il termine previsto. Questa decisione è passata in giudicato in data [</w:t>
      </w:r>
      <w:r>
        <w:rPr>
          <w:highlight w:val="lightGray"/>
        </w:rPr>
        <w:t>data</w:t>
      </w:r>
      <w:r>
        <w:t xml:space="preserve">]. </w:t>
      </w:r>
    </w:p>
    <w:p w14:paraId="5D522ADB" w14:textId="77777777" w:rsidR="001B6E0E" w:rsidRDefault="001B6E0E" w:rsidP="00DB062C">
      <w:pPr>
        <w:pStyle w:val="Haupttext2"/>
      </w:pPr>
      <w:r>
        <w:t>Con la stessa decisione del [</w:t>
      </w:r>
      <w:r>
        <w:rPr>
          <w:highlight w:val="lightGray"/>
        </w:rPr>
        <w:t>data</w:t>
      </w:r>
      <w:r>
        <w:t>] il Comune ha concesso un termine suppletorio pari a due anni per permettere l'adempimento dell'obbligo di costruire secondo l'art. 19c cpv. 1 LPTC. Questo termine suppletorio ha iniziato a decorrere con il passaggio in giudicato della decisione, dunque in data [</w:t>
      </w:r>
      <w:r>
        <w:rPr>
          <w:highlight w:val="lightGray"/>
        </w:rPr>
        <w:t>data</w:t>
      </w:r>
      <w:r>
        <w:t>], ed è scaduto in data [</w:t>
      </w:r>
      <w:r>
        <w:rPr>
          <w:highlight w:val="lightGray"/>
        </w:rPr>
        <w:t>data</w:t>
      </w:r>
      <w:r>
        <w:t>].</w:t>
      </w:r>
    </w:p>
    <w:p w14:paraId="3442F6C4" w14:textId="77777777" w:rsidR="00085AC2" w:rsidRDefault="003E6F4C" w:rsidP="00DB062C">
      <w:pPr>
        <w:pStyle w:val="Haupttext2"/>
      </w:pPr>
      <w:r>
        <w:t xml:space="preserve">Il Comune ha accertato che l'edificazione del fondo n. </w:t>
      </w:r>
      <w:r>
        <w:rPr>
          <w:highlight w:val="lightGray"/>
        </w:rPr>
        <w:t xml:space="preserve">[…] </w:t>
      </w:r>
      <w:r>
        <w:t xml:space="preserve"> non è ancora stata avviata, ragione per cui è scaduto anche il termine suppletorio concesso con la decisione del [</w:t>
      </w:r>
      <w:r>
        <w:rPr>
          <w:highlight w:val="lightGray"/>
        </w:rPr>
        <w:t>data</w:t>
      </w:r>
      <w:r>
        <w:t>] per l'adempimento dell'obbligo di costruire conformemente all'art. 19c cpv. 1 LPTC</w:t>
      </w:r>
      <w:r>
        <w:rPr>
          <w:rStyle w:val="Funotenzeichen"/>
        </w:rPr>
        <w:footnoteReference w:id="3"/>
      </w:r>
      <w:r>
        <w:t xml:space="preserve">.  </w:t>
      </w:r>
    </w:p>
    <w:p w14:paraId="08018391" w14:textId="77777777" w:rsidR="000B599B" w:rsidRDefault="000B599B" w:rsidP="00DB062C">
      <w:pPr>
        <w:pStyle w:val="Haupttext2"/>
        <w:numPr>
          <w:ilvl w:val="0"/>
          <w:numId w:val="0"/>
        </w:numPr>
        <w:ind w:left="567"/>
      </w:pPr>
      <w:r>
        <w:t>[</w:t>
      </w:r>
      <w:r>
        <w:rPr>
          <w:highlight w:val="lightGray"/>
        </w:rPr>
        <w:t>Riguardo alle argomentazioni in merito contenute nella presa di posizione occorre fare le osservazioni seguenti:]</w:t>
      </w:r>
    </w:p>
    <w:p w14:paraId="3D20F44B" w14:textId="77777777" w:rsidR="00224B69" w:rsidRDefault="007F297D" w:rsidP="00224B69">
      <w:pPr>
        <w:pStyle w:val="Haupttext2"/>
        <w:numPr>
          <w:ilvl w:val="0"/>
          <w:numId w:val="0"/>
        </w:numPr>
        <w:ind w:left="567"/>
      </w:pPr>
      <w:r>
        <w:t xml:space="preserve">Sulla base di quanto esposto viene accertato che il termine suppletorio pari a due anni concesso conformemente all'art. 19d cpv. 2 n. 2 LPTC per l'adempimento dell'obbligo di costruire è scaduto inutilizzato. </w:t>
      </w:r>
    </w:p>
    <w:p w14:paraId="3448B7F0" w14:textId="77777777" w:rsidR="000023AF" w:rsidRDefault="000023AF">
      <w:pPr>
        <w:spacing w:after="0" w:line="240" w:lineRule="auto"/>
        <w:rPr>
          <w:rFonts w:ascii="Arial" w:hAnsi="Arial" w:cs="Arial"/>
        </w:rPr>
      </w:pPr>
      <w:r>
        <w:br w:type="page"/>
      </w:r>
    </w:p>
    <w:p w14:paraId="64C55218" w14:textId="77777777" w:rsidR="00224B69" w:rsidRPr="00224B69" w:rsidRDefault="00224B69" w:rsidP="00224B69">
      <w:pPr>
        <w:pStyle w:val="berschrift1"/>
      </w:pPr>
      <w:r>
        <w:t>Esercizio del diritto di compera conformemente all'art. 19d LPTC</w:t>
      </w:r>
    </w:p>
    <w:p w14:paraId="00EB4FBE" w14:textId="77777777" w:rsidR="00224B69" w:rsidRDefault="00224B69" w:rsidP="00DB062C">
      <w:pPr>
        <w:pStyle w:val="Haupttext2"/>
      </w:pPr>
      <w:r>
        <w:t>Se i proprietari dei fondi non adempiono l'obbligo di costruire entro i termini previsti, mediante decisione il Comune può esercitare un diritto di compera al valore venale secondo una valutazione ufficiale riguardo ai fondi corrispondenti se sono soddisfatte le condizioni seguenti:</w:t>
      </w:r>
    </w:p>
    <w:p w14:paraId="5E5EEA83" w14:textId="77777777" w:rsidR="00224B69" w:rsidRDefault="00224B69" w:rsidP="00224B69">
      <w:pPr>
        <w:pStyle w:val="Listenabsatz"/>
        <w:numPr>
          <w:ilvl w:val="0"/>
          <w:numId w:val="18"/>
        </w:numPr>
        <w:ind w:left="1134"/>
        <w:jc w:val="both"/>
        <w:rPr>
          <w:rFonts w:ascii="Arial" w:hAnsi="Arial" w:cs="Arial"/>
        </w:rPr>
      </w:pPr>
      <w:r>
        <w:rPr>
          <w:rFonts w:ascii="Arial" w:hAnsi="Arial"/>
        </w:rPr>
        <w:t xml:space="preserve">sussiste una domanda comprovata di terreni edificabili; </w:t>
      </w:r>
    </w:p>
    <w:p w14:paraId="7A579029" w14:textId="77777777" w:rsidR="00224B69" w:rsidRDefault="00224B69" w:rsidP="00224B69">
      <w:pPr>
        <w:pStyle w:val="Listenabsatz"/>
        <w:numPr>
          <w:ilvl w:val="0"/>
          <w:numId w:val="18"/>
        </w:numPr>
        <w:ind w:left="1134"/>
        <w:jc w:val="both"/>
        <w:rPr>
          <w:rFonts w:ascii="Arial" w:hAnsi="Arial" w:cs="Arial"/>
        </w:rPr>
      </w:pPr>
      <w:r>
        <w:rPr>
          <w:rFonts w:ascii="Arial" w:hAnsi="Arial"/>
        </w:rPr>
        <w:t xml:space="preserve">un termine suppletorio pari al massimo a due anni è scaduto inutilizzato; </w:t>
      </w:r>
    </w:p>
    <w:p w14:paraId="0C4261C5" w14:textId="77777777" w:rsidR="00224B69" w:rsidRDefault="00224B69" w:rsidP="00224B69">
      <w:pPr>
        <w:pStyle w:val="Listenabsatz"/>
        <w:numPr>
          <w:ilvl w:val="0"/>
          <w:numId w:val="18"/>
        </w:numPr>
        <w:ind w:left="1134"/>
        <w:jc w:val="both"/>
        <w:rPr>
          <w:rFonts w:ascii="Arial" w:hAnsi="Arial" w:cs="Arial"/>
        </w:rPr>
      </w:pPr>
      <w:r>
        <w:rPr>
          <w:rFonts w:ascii="Arial" w:hAnsi="Arial"/>
        </w:rPr>
        <w:t xml:space="preserve">sussiste un interesse pubblico preponderante al rilevamento del fondo; </w:t>
      </w:r>
    </w:p>
    <w:p w14:paraId="69AD7331" w14:textId="77777777" w:rsidR="00224B69" w:rsidRDefault="00224B69" w:rsidP="006D73FD">
      <w:pPr>
        <w:pStyle w:val="Listenabsatz"/>
        <w:numPr>
          <w:ilvl w:val="0"/>
          <w:numId w:val="18"/>
        </w:numPr>
        <w:ind w:left="1134"/>
        <w:jc w:val="both"/>
        <w:rPr>
          <w:rFonts w:ascii="Arial" w:hAnsi="Arial" w:cs="Arial"/>
        </w:rPr>
      </w:pPr>
      <w:r>
        <w:rPr>
          <w:rFonts w:ascii="Arial" w:hAnsi="Arial"/>
        </w:rPr>
        <w:t>i fondi da rilevare vengono scelti in base agli obiettivi e ai principi della pianificazione territoriale.</w:t>
      </w:r>
    </w:p>
    <w:p w14:paraId="3E291A95" w14:textId="77777777" w:rsidR="006D73FD" w:rsidRPr="006D73FD" w:rsidRDefault="006D73FD" w:rsidP="006D73FD">
      <w:pPr>
        <w:pStyle w:val="Listenabsatz"/>
        <w:ind w:left="1134"/>
        <w:jc w:val="both"/>
        <w:rPr>
          <w:rFonts w:ascii="Arial" w:hAnsi="Arial" w:cs="Arial"/>
        </w:rPr>
      </w:pPr>
    </w:p>
    <w:p w14:paraId="49EDA2AA" w14:textId="77777777" w:rsidR="006D73FD" w:rsidRDefault="006D73FD" w:rsidP="006D73FD">
      <w:pPr>
        <w:pStyle w:val="Haupttext2"/>
        <w:numPr>
          <w:ilvl w:val="0"/>
          <w:numId w:val="0"/>
        </w:numPr>
        <w:ind w:left="567"/>
      </w:pPr>
      <w:r>
        <w:t xml:space="preserve">Di seguito viene dimostrato che questi presupposti sono soddisfatti. </w:t>
      </w:r>
    </w:p>
    <w:p w14:paraId="3C863A1C" w14:textId="77777777" w:rsidR="006D73FD" w:rsidRPr="006D73FD" w:rsidRDefault="006D73FD" w:rsidP="00F40F40">
      <w:pPr>
        <w:pStyle w:val="berschrift3"/>
      </w:pPr>
      <w:r>
        <w:t>Domanda comprovata di terreni edificabili</w:t>
      </w:r>
    </w:p>
    <w:p w14:paraId="047022A9" w14:textId="77777777" w:rsidR="006D73FD" w:rsidRDefault="006D73FD" w:rsidP="00DB062C">
      <w:pPr>
        <w:pStyle w:val="Haupttext2"/>
      </w:pPr>
      <w:r>
        <w:t xml:space="preserve">Sussiste una domanda comprovata di terreni edificabili, poiché </w:t>
      </w:r>
      <w:r>
        <w:rPr>
          <w:highlight w:val="lightGray"/>
        </w:rPr>
        <w:t>[</w:t>
      </w:r>
      <w:r>
        <w:rPr>
          <w:i/>
          <w:highlight w:val="lightGray"/>
        </w:rPr>
        <w:t>motivazione</w:t>
      </w:r>
      <w:r>
        <w:rPr>
          <w:highlight w:val="lightGray"/>
        </w:rPr>
        <w:t>]</w:t>
      </w:r>
      <w:r>
        <w:t>.</w:t>
      </w:r>
    </w:p>
    <w:p w14:paraId="5CEE62BE" w14:textId="77777777" w:rsidR="006D73FD" w:rsidRDefault="006D73FD" w:rsidP="006D73FD">
      <w:pPr>
        <w:pStyle w:val="Haupttext2"/>
        <w:numPr>
          <w:ilvl w:val="0"/>
          <w:numId w:val="0"/>
        </w:numPr>
        <w:ind w:left="567"/>
      </w:pPr>
      <w:r>
        <w:t>[</w:t>
      </w:r>
      <w:r>
        <w:rPr>
          <w:highlight w:val="lightGray"/>
        </w:rPr>
        <w:t>Riguardo alle argomentazioni in merito contenute nella presa di posizione occorre fare le osservazioni seguenti:]</w:t>
      </w:r>
    </w:p>
    <w:p w14:paraId="404EF973" w14:textId="77777777" w:rsidR="006D73FD" w:rsidRDefault="006D73FD" w:rsidP="00F40F40">
      <w:pPr>
        <w:pStyle w:val="berschrift3"/>
      </w:pPr>
      <w:r>
        <w:t>Termine suppletorio scaduto inutilizzato</w:t>
      </w:r>
    </w:p>
    <w:p w14:paraId="30C4963B" w14:textId="77777777" w:rsidR="006D73FD" w:rsidRDefault="006D73FD" w:rsidP="00DB062C">
      <w:pPr>
        <w:pStyle w:val="Haupttext2"/>
      </w:pPr>
      <w:r>
        <w:t xml:space="preserve">Per quanto riguarda la scadenza del termine suppletorio si rimanda alle spiegazioni precedenti di cui al capitolo I. </w:t>
      </w:r>
    </w:p>
    <w:p w14:paraId="00C42D07" w14:textId="77777777" w:rsidR="006D73FD" w:rsidRDefault="006D73FD" w:rsidP="00F40F40">
      <w:pPr>
        <w:pStyle w:val="berschrift3"/>
      </w:pPr>
      <w:r>
        <w:t>Interesse pubblico preponderante al rilevamento del fondo</w:t>
      </w:r>
    </w:p>
    <w:p w14:paraId="010025FC" w14:textId="77777777" w:rsidR="006D73FD" w:rsidRDefault="006D73FD" w:rsidP="00DB062C">
      <w:pPr>
        <w:pStyle w:val="Haupttext2"/>
      </w:pPr>
      <w:r>
        <w:t xml:space="preserve">Sussiste un interesse pubblico preponderante al rilevamento del fondo, poiché </w:t>
      </w:r>
      <w:r>
        <w:rPr>
          <w:highlight w:val="lightGray"/>
        </w:rPr>
        <w:t>[</w:t>
      </w:r>
      <w:r>
        <w:rPr>
          <w:i/>
          <w:highlight w:val="lightGray"/>
        </w:rPr>
        <w:t>motivazione</w:t>
      </w:r>
      <w:r>
        <w:rPr>
          <w:highlight w:val="lightGray"/>
        </w:rPr>
        <w:t>]</w:t>
      </w:r>
      <w:r>
        <w:t>.</w:t>
      </w:r>
    </w:p>
    <w:p w14:paraId="7DBDF01D" w14:textId="77777777" w:rsidR="006D73FD" w:rsidRDefault="006D73FD" w:rsidP="00F40F40">
      <w:pPr>
        <w:pStyle w:val="Haupttext2"/>
        <w:numPr>
          <w:ilvl w:val="0"/>
          <w:numId w:val="0"/>
        </w:numPr>
        <w:ind w:left="567"/>
      </w:pPr>
      <w:r>
        <w:t>[</w:t>
      </w:r>
      <w:r>
        <w:rPr>
          <w:highlight w:val="lightGray"/>
        </w:rPr>
        <w:t>Riguardo alle argomentazioni in merito contenute nella presa di posizione occorre fare le osservazioni seguenti:]</w:t>
      </w:r>
    </w:p>
    <w:p w14:paraId="7AB17D61" w14:textId="77777777" w:rsidR="00F40F40" w:rsidRDefault="00F40F40" w:rsidP="00F40F40">
      <w:pPr>
        <w:pStyle w:val="berschrift3"/>
      </w:pPr>
      <w:r>
        <w:t>Il rilevamento avviene in base agli obiettivi e ai principi della pianificazione territoriale</w:t>
      </w:r>
    </w:p>
    <w:p w14:paraId="0623F90A" w14:textId="77777777" w:rsidR="00F40F40" w:rsidRDefault="00F40F40" w:rsidP="00DB062C">
      <w:pPr>
        <w:pStyle w:val="Haupttext2"/>
      </w:pPr>
      <w:r>
        <w:t xml:space="preserve">I fondi da rilevare vengono scelti in base agli obiettivi e ai principi della pianificazione territoriale, poiché </w:t>
      </w:r>
      <w:r>
        <w:rPr>
          <w:highlight w:val="lightGray"/>
        </w:rPr>
        <w:t>[</w:t>
      </w:r>
      <w:r>
        <w:rPr>
          <w:i/>
          <w:highlight w:val="lightGray"/>
        </w:rPr>
        <w:t>motivazione</w:t>
      </w:r>
      <w:r>
        <w:rPr>
          <w:highlight w:val="lightGray"/>
        </w:rPr>
        <w:t>]</w:t>
      </w:r>
      <w:r>
        <w:t>.</w:t>
      </w:r>
    </w:p>
    <w:p w14:paraId="2D159F6B" w14:textId="77777777" w:rsidR="00F40F40" w:rsidRDefault="00F40F40" w:rsidP="00F40F40">
      <w:pPr>
        <w:pStyle w:val="Haupttext2"/>
        <w:numPr>
          <w:ilvl w:val="0"/>
          <w:numId w:val="0"/>
        </w:numPr>
        <w:ind w:left="567"/>
      </w:pPr>
      <w:r>
        <w:t>[</w:t>
      </w:r>
      <w:r>
        <w:rPr>
          <w:highlight w:val="lightGray"/>
        </w:rPr>
        <w:t>Riguardo alle argomentazioni in merito contenute nella presa di posizione occorre fare le osservazioni seguenti:]</w:t>
      </w:r>
    </w:p>
    <w:p w14:paraId="31919AD9" w14:textId="77777777" w:rsidR="00F40F40" w:rsidRDefault="00F40F40" w:rsidP="00F40F40">
      <w:pPr>
        <w:pStyle w:val="berschrift3"/>
      </w:pPr>
      <w:r>
        <w:t>Conclusione</w:t>
      </w:r>
    </w:p>
    <w:p w14:paraId="39EE3B8B" w14:textId="77777777" w:rsidR="00F40F40" w:rsidRDefault="00F40F40" w:rsidP="00DB062C">
      <w:pPr>
        <w:pStyle w:val="Haupttext2"/>
      </w:pPr>
      <w:r>
        <w:t xml:space="preserve">Sulla base di quanto esposto si constata che sono soddisfatti i presupposti per l'esercizio del diritto di compera da parte del Comune secondo l'art. 19d LPTC, ragione per cui il Comune esercita il diritto di compera. </w:t>
      </w:r>
    </w:p>
    <w:p w14:paraId="036F0CA1" w14:textId="77777777" w:rsidR="00986021" w:rsidRDefault="00986021" w:rsidP="00DB062C">
      <w:pPr>
        <w:pStyle w:val="Haupttext2"/>
      </w:pPr>
      <w:r>
        <w:t xml:space="preserve">In base alla valutazione ufficiale del </w:t>
      </w:r>
      <w:r>
        <w:rPr>
          <w:highlight w:val="lightGray"/>
        </w:rPr>
        <w:t>[…]</w:t>
      </w:r>
      <w:r>
        <w:t xml:space="preserve">, con lettera del </w:t>
      </w:r>
      <w:r>
        <w:rPr>
          <w:highlight w:val="lightGray"/>
        </w:rPr>
        <w:t>[…]</w:t>
      </w:r>
      <w:r>
        <w:t xml:space="preserve"> il Comune ha offerto un prezzo d'acquisto pari a CHF </w:t>
      </w:r>
      <w:r>
        <w:rPr>
          <w:highlight w:val="lightGray"/>
        </w:rPr>
        <w:t>[…]</w:t>
      </w:r>
      <w:r>
        <w:t xml:space="preserve">. </w:t>
      </w:r>
    </w:p>
    <w:p w14:paraId="56443AC1" w14:textId="77777777" w:rsidR="00986021" w:rsidRDefault="00986021" w:rsidP="00896B6B">
      <w:pPr>
        <w:pStyle w:val="Haupttext2"/>
      </w:pPr>
      <w:r>
        <w:t xml:space="preserve">Nella presa di posizione del </w:t>
      </w:r>
      <w:r>
        <w:rPr>
          <w:highlight w:val="lightGray"/>
        </w:rPr>
        <w:t>[…]</w:t>
      </w:r>
      <w:r>
        <w:t xml:space="preserve"> i proprietari fondiari hanno comunicato di non essere d'accordo con il prezzo d'acquisto proposto. Per questa ragione, in data </w:t>
      </w:r>
      <w:r>
        <w:rPr>
          <w:highlight w:val="lightGray"/>
        </w:rPr>
        <w:t>[…]</w:t>
      </w:r>
      <w:r>
        <w:t xml:space="preserve"> </w:t>
      </w:r>
      <w:r>
        <w:rPr>
          <w:highlight w:val="lightGray"/>
        </w:rPr>
        <w:t>[il Comune ha / i proprietari fondiari hanno]</w:t>
      </w:r>
      <w:r>
        <w:t xml:space="preserve"> chiesto alla Commissione d'espropriazione lo svolgimento di una procedura di stima. </w:t>
      </w:r>
    </w:p>
    <w:p w14:paraId="128ED5C8" w14:textId="77777777" w:rsidR="00896B6B" w:rsidRDefault="00896B6B" w:rsidP="00896B6B">
      <w:pPr>
        <w:pStyle w:val="Haupttext2"/>
      </w:pPr>
      <w:r>
        <w:t xml:space="preserve">Con decisione del </w:t>
      </w:r>
      <w:r>
        <w:rPr>
          <w:highlight w:val="lightGray"/>
        </w:rPr>
        <w:t>[…]</w:t>
      </w:r>
      <w:r>
        <w:t xml:space="preserve"> la Commissione d'espropriazione competente ha stabilito un prezzo d'acquisto pari a CHF </w:t>
      </w:r>
      <w:r>
        <w:rPr>
          <w:highlight w:val="lightGray"/>
        </w:rPr>
        <w:t>[…]</w:t>
      </w:r>
      <w:r>
        <w:t xml:space="preserve"> per il fondo in questione n. </w:t>
      </w:r>
      <w:r>
        <w:rPr>
          <w:highlight w:val="lightGray"/>
        </w:rPr>
        <w:t>[…]</w:t>
      </w:r>
      <w:r>
        <w:t xml:space="preserve">. Questa decisione è passata in giudicato. Di conseguenza il prezzo d'acquisto dovuto per l'esercizio del diritto di compera concernente il fondo n. </w:t>
      </w:r>
      <w:r>
        <w:rPr>
          <w:highlight w:val="lightGray"/>
        </w:rPr>
        <w:t>[…]</w:t>
      </w:r>
      <w:r>
        <w:t xml:space="preserve"> ammonta a CHF </w:t>
      </w:r>
      <w:r>
        <w:rPr>
          <w:highlight w:val="lightGray"/>
        </w:rPr>
        <w:t>[…]</w:t>
      </w:r>
      <w:r>
        <w:t>.</w:t>
      </w:r>
    </w:p>
    <w:p w14:paraId="0CAC2111" w14:textId="77777777" w:rsidR="00FC0A6D" w:rsidRDefault="00FC0A6D" w:rsidP="00FC0A6D">
      <w:pPr>
        <w:pStyle w:val="berschrift1"/>
      </w:pPr>
      <w:r>
        <w:t xml:space="preserve">Tasse </w:t>
      </w:r>
    </w:p>
    <w:p w14:paraId="427D409F" w14:textId="77777777" w:rsidR="00120120" w:rsidRDefault="00120120" w:rsidP="00DB062C">
      <w:pPr>
        <w:pStyle w:val="Haupttext2"/>
      </w:pPr>
      <w:r>
        <w:t>Per la stesura della presente decisione vengono riscosse le tasse seguenti [</w:t>
      </w:r>
      <w:r>
        <w:rPr>
          <w:highlight w:val="lightGray"/>
        </w:rPr>
        <w:t>a norma del regolamento comunale sugli emolumenti</w:t>
      </w:r>
      <w:r>
        <w:t>].</w:t>
      </w:r>
    </w:p>
    <w:p w14:paraId="5A24FD7C" w14:textId="77777777" w:rsidR="00120120" w:rsidRPr="002229F3" w:rsidRDefault="00E9558B" w:rsidP="002229F3">
      <w:pPr>
        <w:pStyle w:val="berschrift4"/>
        <w:keepNext w:val="0"/>
        <w:keepLines w:val="0"/>
        <w:spacing w:before="480" w:after="360" w:line="312" w:lineRule="auto"/>
        <w:rPr>
          <w:rFonts w:ascii="Arial" w:eastAsia="Times New Roman" w:hAnsi="Arial" w:cs="Arial"/>
          <w:b/>
          <w:i w:val="0"/>
          <w:iCs w:val="0"/>
          <w:color w:val="auto"/>
          <w:sz w:val="28"/>
          <w:szCs w:val="28"/>
        </w:rPr>
      </w:pPr>
      <w:r>
        <w:rPr>
          <w:rFonts w:ascii="Arial" w:hAnsi="Arial"/>
          <w:b/>
          <w:i w:val="0"/>
          <w:color w:val="auto"/>
          <w:sz w:val="28"/>
        </w:rPr>
        <w:t>Decisione</w:t>
      </w:r>
    </w:p>
    <w:p w14:paraId="581D6333" w14:textId="77777777" w:rsidR="00FE1A1E" w:rsidRDefault="00FC0A6D" w:rsidP="00FC0A6D">
      <w:pPr>
        <w:pStyle w:val="Haupttext2"/>
        <w:numPr>
          <w:ilvl w:val="0"/>
          <w:numId w:val="11"/>
        </w:numPr>
        <w:ind w:left="567" w:hanging="567"/>
      </w:pPr>
      <w:r>
        <w:t xml:space="preserve">Il termine suppletorio pari a due anni concesso conformemente all'art. 19d cpv. 2 n. 2 LPTC per l'adempimento dell'obbligo di costruire secondo l'art. 19c cpv. 1 LPTC è scaduto inutilizzato. </w:t>
      </w:r>
    </w:p>
    <w:p w14:paraId="7A737D9B" w14:textId="77777777" w:rsidR="00FC0A6D" w:rsidRDefault="00FC0A6D" w:rsidP="00FC0A6D">
      <w:pPr>
        <w:pStyle w:val="Haupttext2"/>
        <w:numPr>
          <w:ilvl w:val="0"/>
          <w:numId w:val="11"/>
        </w:numPr>
        <w:ind w:left="567" w:hanging="567"/>
      </w:pPr>
      <w:r>
        <w:t>Il Comune esercita senza riserve e condizioni il diritto di compera sul fondo in questione n. [</w:t>
      </w:r>
      <w:r>
        <w:rPr>
          <w:highlight w:val="lightGray"/>
        </w:rPr>
        <w:t>…</w:t>
      </w:r>
      <w:r>
        <w:t>] in virtù dell'art. 19d LPTC al prezzo d'acquisto di CHF [</w:t>
      </w:r>
      <w:r>
        <w:rPr>
          <w:highlight w:val="lightGray"/>
        </w:rPr>
        <w:t>…</w:t>
      </w:r>
      <w:r>
        <w:t>] in base alla [</w:t>
      </w:r>
      <w:r>
        <w:rPr>
          <w:highlight w:val="lightGray"/>
        </w:rPr>
        <w:t>valutazione ufficiale del … / decisione della Commissione d'espropriazione del ...].</w:t>
      </w:r>
    </w:p>
    <w:p w14:paraId="3BA69A98" w14:textId="77777777" w:rsidR="001A2422" w:rsidRDefault="001A2422" w:rsidP="00590E1B">
      <w:pPr>
        <w:pStyle w:val="Haupttext2"/>
        <w:numPr>
          <w:ilvl w:val="0"/>
          <w:numId w:val="11"/>
        </w:numPr>
        <w:ind w:left="567" w:hanging="567"/>
      </w:pPr>
      <w:r>
        <w:t>Per la stesura della presente decisione [</w:t>
      </w:r>
      <w:r>
        <w:rPr>
          <w:highlight w:val="lightGray"/>
        </w:rPr>
        <w:t>dal/</w:t>
      </w:r>
      <w:proofErr w:type="gramStart"/>
      <w:r>
        <w:rPr>
          <w:highlight w:val="lightGray"/>
        </w:rPr>
        <w:t>la proprietario</w:t>
      </w:r>
      <w:proofErr w:type="gramEnd"/>
      <w:r>
        <w:rPr>
          <w:highlight w:val="lightGray"/>
        </w:rPr>
        <w:t>/a fondiario/a / titolare del diritto di superficie</w:t>
      </w:r>
      <w:r>
        <w:t xml:space="preserve">] vengono riscossi emolumenti pari a CHF </w:t>
      </w:r>
      <w:r>
        <w:rPr>
          <w:highlight w:val="lightGray"/>
        </w:rPr>
        <w:t>[…]</w:t>
      </w:r>
      <w:r>
        <w:t>.</w:t>
      </w:r>
    </w:p>
    <w:p w14:paraId="018599A8" w14:textId="7320A7B7" w:rsidR="00C470C6" w:rsidRDefault="00C470C6" w:rsidP="00590E1B">
      <w:pPr>
        <w:pStyle w:val="Haupttext2"/>
        <w:numPr>
          <w:ilvl w:val="0"/>
          <w:numId w:val="11"/>
        </w:numPr>
        <w:ind w:left="567" w:hanging="567"/>
      </w:pPr>
      <w:r>
        <w:t xml:space="preserve">Contro la presente decisione è data facoltà di ricorso al Tribunale </w:t>
      </w:r>
      <w:r w:rsidR="00417176">
        <w:t>d'appello</w:t>
      </w:r>
      <w:bookmarkStart w:id="0" w:name="_GoBack"/>
      <w:bookmarkEnd w:id="0"/>
      <w:r>
        <w:t xml:space="preserve"> del Cantone dei Grigioni, entro 30 giorni dalla comunicazione.</w:t>
      </w:r>
    </w:p>
    <w:p w14:paraId="7D646CBD" w14:textId="77777777" w:rsidR="00C470C6" w:rsidRDefault="00C470C6" w:rsidP="00590E1B">
      <w:pPr>
        <w:pStyle w:val="Haupttext2"/>
        <w:numPr>
          <w:ilvl w:val="0"/>
          <w:numId w:val="11"/>
        </w:numPr>
        <w:ind w:left="567" w:hanging="567"/>
      </w:pPr>
      <w:r>
        <w:t>Comunicazione a:</w:t>
      </w:r>
    </w:p>
    <w:p w14:paraId="10AC7D09" w14:textId="77777777" w:rsidR="00C470C6" w:rsidRDefault="00C470C6" w:rsidP="001E48A1">
      <w:pPr>
        <w:pStyle w:val="Listenabsatz"/>
        <w:numPr>
          <w:ilvl w:val="0"/>
          <w:numId w:val="12"/>
        </w:numPr>
        <w:spacing w:line="312" w:lineRule="auto"/>
        <w:ind w:left="1276" w:hanging="218"/>
        <w:rPr>
          <w:rFonts w:ascii="Arial" w:hAnsi="Arial" w:cs="Arial"/>
        </w:rPr>
      </w:pPr>
      <w:r>
        <w:rPr>
          <w:rFonts w:ascii="Arial" w:hAnsi="Arial"/>
        </w:rPr>
        <w:t>[</w:t>
      </w:r>
      <w:r>
        <w:rPr>
          <w:rFonts w:ascii="Arial" w:hAnsi="Arial"/>
          <w:highlight w:val="lightGray"/>
        </w:rPr>
        <w:t>Proprietario/a del fondo</w:t>
      </w:r>
      <w:r>
        <w:rPr>
          <w:rFonts w:ascii="Arial" w:hAnsi="Arial"/>
        </w:rPr>
        <w:t>, (raccomandata)]</w:t>
      </w:r>
    </w:p>
    <w:p w14:paraId="4445705A" w14:textId="77777777" w:rsidR="00C470C6" w:rsidRDefault="00C470C6" w:rsidP="001E48A1">
      <w:pPr>
        <w:pStyle w:val="Listenabsatz"/>
        <w:numPr>
          <w:ilvl w:val="0"/>
          <w:numId w:val="12"/>
        </w:numPr>
        <w:spacing w:line="312" w:lineRule="auto"/>
        <w:ind w:left="1276" w:hanging="218"/>
        <w:rPr>
          <w:rFonts w:ascii="Arial" w:hAnsi="Arial" w:cs="Arial"/>
        </w:rPr>
      </w:pPr>
      <w:r>
        <w:rPr>
          <w:rFonts w:ascii="Arial" w:hAnsi="Arial"/>
        </w:rPr>
        <w:t>[</w:t>
      </w:r>
      <w:r>
        <w:rPr>
          <w:rFonts w:ascii="Arial" w:hAnsi="Arial"/>
          <w:highlight w:val="lightGray"/>
        </w:rPr>
        <w:t>Titolare del diritto di superficie</w:t>
      </w:r>
      <w:r>
        <w:rPr>
          <w:rFonts w:ascii="Arial" w:hAnsi="Arial"/>
        </w:rPr>
        <w:t>, (raccomandata)]</w:t>
      </w:r>
    </w:p>
    <w:p w14:paraId="36F3FB5F" w14:textId="77777777" w:rsidR="00590E1B" w:rsidRDefault="00590E1B" w:rsidP="00590E1B">
      <w:pPr>
        <w:pStyle w:val="Listenabsatz"/>
        <w:spacing w:line="312" w:lineRule="auto"/>
        <w:ind w:left="1276"/>
        <w:rPr>
          <w:rFonts w:ascii="Arial" w:hAnsi="Arial" w:cs="Arial"/>
        </w:rPr>
      </w:pPr>
    </w:p>
    <w:p w14:paraId="48FF3AB6" w14:textId="77777777" w:rsidR="00590E1B" w:rsidRDefault="00590E1B" w:rsidP="00590E1B">
      <w:pPr>
        <w:pStyle w:val="Haupttext2"/>
        <w:numPr>
          <w:ilvl w:val="0"/>
          <w:numId w:val="11"/>
        </w:numPr>
        <w:ind w:left="567" w:hanging="567"/>
      </w:pPr>
      <w:r>
        <w:t>Comunicazione dopo il passaggio in giudicato a:</w:t>
      </w:r>
    </w:p>
    <w:p w14:paraId="027C31BC" w14:textId="77777777" w:rsidR="00590E1B" w:rsidRDefault="00590E1B" w:rsidP="00590E1B">
      <w:pPr>
        <w:pStyle w:val="Listenabsatz"/>
        <w:numPr>
          <w:ilvl w:val="0"/>
          <w:numId w:val="12"/>
        </w:numPr>
        <w:spacing w:line="312" w:lineRule="auto"/>
        <w:ind w:left="1276" w:hanging="218"/>
        <w:rPr>
          <w:rFonts w:ascii="Arial" w:hAnsi="Arial" w:cs="Arial"/>
        </w:rPr>
      </w:pPr>
      <w:r>
        <w:rPr>
          <w:rFonts w:ascii="Arial" w:hAnsi="Arial"/>
        </w:rPr>
        <w:t>Ufficio del registro fondiario [</w:t>
      </w:r>
      <w:r>
        <w:rPr>
          <w:rFonts w:ascii="Arial" w:hAnsi="Arial"/>
          <w:highlight w:val="lightGray"/>
        </w:rPr>
        <w:t>…</w:t>
      </w:r>
      <w:r>
        <w:rPr>
          <w:rFonts w:ascii="Arial" w:hAnsi="Arial"/>
        </w:rPr>
        <w:t>]</w:t>
      </w:r>
    </w:p>
    <w:p w14:paraId="718CB610" w14:textId="77777777" w:rsidR="00DC10FE" w:rsidRPr="000023AF" w:rsidRDefault="00DC10FE" w:rsidP="00590E1B">
      <w:pPr>
        <w:pStyle w:val="Listenabsatz"/>
        <w:numPr>
          <w:ilvl w:val="0"/>
          <w:numId w:val="12"/>
        </w:numPr>
        <w:spacing w:line="312" w:lineRule="auto"/>
        <w:ind w:left="1276" w:hanging="218"/>
        <w:rPr>
          <w:rFonts w:ascii="Arial" w:hAnsi="Arial" w:cs="Arial"/>
          <w:color w:val="000000" w:themeColor="text1"/>
        </w:rPr>
      </w:pPr>
      <w:r>
        <w:rPr>
          <w:rFonts w:ascii="Arial" w:hAnsi="Arial"/>
          <w:color w:val="000000" w:themeColor="text1"/>
        </w:rPr>
        <w:t>Ufficio per lo sviluppo del territorio</w:t>
      </w:r>
    </w:p>
    <w:p w14:paraId="3E316991" w14:textId="77777777" w:rsidR="000023AF" w:rsidRDefault="000023AF">
      <w:pPr>
        <w:spacing w:after="0" w:line="240" w:lineRule="auto"/>
        <w:rPr>
          <w:rFonts w:ascii="Arial" w:hAnsi="Arial" w:cs="Arial"/>
        </w:rPr>
      </w:pPr>
      <w:r>
        <w:br w:type="page"/>
      </w:r>
    </w:p>
    <w:p w14:paraId="08ABC3DC" w14:textId="77777777" w:rsidR="00C470C6" w:rsidRDefault="00C470C6" w:rsidP="00C470C6">
      <w:pPr>
        <w:spacing w:line="312" w:lineRule="auto"/>
        <w:rPr>
          <w:rFonts w:ascii="Arial" w:hAnsi="Arial" w:cs="Arial"/>
        </w:rPr>
      </w:pPr>
    </w:p>
    <w:p w14:paraId="40857CC7" w14:textId="77777777" w:rsidR="00C470C6" w:rsidRPr="00DF42B4" w:rsidRDefault="00C470C6" w:rsidP="00C470C6">
      <w:pPr>
        <w:spacing w:line="312" w:lineRule="auto"/>
        <w:rPr>
          <w:rFonts w:ascii="Arial" w:hAnsi="Arial" w:cs="Arial"/>
        </w:rPr>
      </w:pPr>
      <w:r>
        <w:rPr>
          <w:rFonts w:ascii="Arial" w:hAnsi="Arial"/>
        </w:rPr>
        <w:t>Per il Comune</w:t>
      </w:r>
    </w:p>
    <w:p w14:paraId="5C10BE6D" w14:textId="77777777" w:rsidR="00C470C6" w:rsidRPr="00DF42B4" w:rsidRDefault="00C470C6" w:rsidP="00C470C6">
      <w:pPr>
        <w:spacing w:line="312" w:lineRule="auto"/>
        <w:jc w:val="center"/>
        <w:rPr>
          <w:rFonts w:ascii="Arial" w:hAnsi="Arial" w:cs="Arial"/>
        </w:rPr>
      </w:pPr>
    </w:p>
    <w:p w14:paraId="0966372A" w14:textId="77777777" w:rsidR="00C470C6" w:rsidRPr="00DF42B4" w:rsidRDefault="00C470C6" w:rsidP="00C470C6">
      <w:pPr>
        <w:rPr>
          <w:rFonts w:ascii="Arial" w:hAnsi="Arial" w:cs="Arial"/>
        </w:rPr>
      </w:pPr>
    </w:p>
    <w:p w14:paraId="315EF863" w14:textId="77777777" w:rsidR="00C470C6" w:rsidRPr="00DF42B4" w:rsidRDefault="00C470C6" w:rsidP="00C470C6">
      <w:pPr>
        <w:rPr>
          <w:rFonts w:ascii="Arial" w:hAnsi="Arial" w:cs="Arial"/>
        </w:rPr>
      </w:pPr>
      <w:r>
        <w:rPr>
          <w:rFonts w:ascii="Arial" w:hAnsi="Arial"/>
        </w:rPr>
        <w:t>__________________________</w:t>
      </w:r>
      <w:r>
        <w:rPr>
          <w:rFonts w:ascii="Arial" w:hAnsi="Arial"/>
        </w:rPr>
        <w:tab/>
      </w:r>
      <w:r>
        <w:rPr>
          <w:rFonts w:ascii="Arial" w:hAnsi="Arial"/>
        </w:rPr>
        <w:tab/>
      </w:r>
      <w:r>
        <w:rPr>
          <w:rFonts w:ascii="Arial" w:hAnsi="Arial"/>
        </w:rPr>
        <w:tab/>
        <w:t>__________________________</w:t>
      </w:r>
    </w:p>
    <w:p w14:paraId="236BB54C" w14:textId="77777777" w:rsidR="00C470C6" w:rsidRPr="00DF42B4" w:rsidRDefault="00C470C6" w:rsidP="00C470C6">
      <w:pPr>
        <w:rPr>
          <w:rFonts w:ascii="Arial" w:hAnsi="Arial" w:cs="Arial"/>
        </w:rPr>
      </w:pPr>
    </w:p>
    <w:p w14:paraId="7616FB73" w14:textId="77777777" w:rsidR="00C470C6" w:rsidRPr="00DF42B4" w:rsidRDefault="00C470C6" w:rsidP="00C470C6">
      <w:pPr>
        <w:rPr>
          <w:rFonts w:ascii="Arial" w:hAnsi="Arial" w:cs="Arial"/>
        </w:rPr>
      </w:pPr>
      <w:r>
        <w:rPr>
          <w:rFonts w:ascii="Arial" w:hAnsi="Arial"/>
        </w:rPr>
        <w:t>[</w:t>
      </w:r>
      <w:r>
        <w:rPr>
          <w:rFonts w:ascii="Arial" w:hAnsi="Arial"/>
          <w:highlight w:val="lightGray"/>
        </w:rPr>
        <w:t>Il sindaco/La sindaca</w:t>
      </w:r>
      <w:r>
        <w:rPr>
          <w:rFonts w:ascii="Arial" w:hAnsi="Arial"/>
        </w:rPr>
        <w:t>]</w:t>
      </w:r>
      <w:r>
        <w:rPr>
          <w:rFonts w:ascii="Arial" w:hAnsi="Arial"/>
        </w:rPr>
        <w:tab/>
      </w:r>
      <w:r>
        <w:rPr>
          <w:rFonts w:ascii="Arial" w:hAnsi="Arial"/>
        </w:rPr>
        <w:tab/>
      </w:r>
      <w:r>
        <w:rPr>
          <w:rFonts w:ascii="Arial" w:hAnsi="Arial"/>
        </w:rPr>
        <w:tab/>
        <w:t>[</w:t>
      </w:r>
      <w:r>
        <w:rPr>
          <w:rFonts w:ascii="Arial" w:hAnsi="Arial"/>
          <w:highlight w:val="lightGray"/>
        </w:rPr>
        <w:t>Il segretario comunale/La segretaria comunale</w:t>
      </w:r>
      <w:r>
        <w:rPr>
          <w:rFonts w:ascii="Arial" w:hAnsi="Arial"/>
        </w:rPr>
        <w:t>]</w:t>
      </w:r>
    </w:p>
    <w:p w14:paraId="6AB9589F" w14:textId="77777777" w:rsidR="0055695E" w:rsidRDefault="0055695E" w:rsidP="001057C0">
      <w:pPr>
        <w:rPr>
          <w:rFonts w:ascii="Arial" w:hAnsi="Arial" w:cs="Arial"/>
        </w:rPr>
      </w:pPr>
    </w:p>
    <w:p w14:paraId="6389B0B0" w14:textId="77777777" w:rsidR="00C470C6" w:rsidRDefault="00C470C6" w:rsidP="00C470C6">
      <w:pPr>
        <w:spacing w:line="312" w:lineRule="auto"/>
        <w:rPr>
          <w:rFonts w:ascii="Arial" w:hAnsi="Arial" w:cs="Arial"/>
        </w:rPr>
      </w:pPr>
      <w:r>
        <w:rPr>
          <w:rFonts w:ascii="Arial" w:hAnsi="Arial"/>
        </w:rPr>
        <w:t>Comunicazione in data: [</w:t>
      </w:r>
      <w:r>
        <w:rPr>
          <w:rFonts w:ascii="Arial" w:hAnsi="Arial"/>
          <w:highlight w:val="lightGray"/>
        </w:rPr>
        <w:t>…</w:t>
      </w:r>
      <w:r>
        <w:rPr>
          <w:rFonts w:ascii="Arial" w:hAnsi="Arial"/>
        </w:rPr>
        <w:t>]</w:t>
      </w:r>
    </w:p>
    <w:p w14:paraId="344C437A" w14:textId="77777777" w:rsidR="00AB75E4" w:rsidRDefault="00AB75E4" w:rsidP="00C470C6">
      <w:pPr>
        <w:tabs>
          <w:tab w:val="left" w:pos="284"/>
        </w:tabs>
        <w:spacing w:after="0" w:line="312" w:lineRule="auto"/>
        <w:jc w:val="both"/>
        <w:rPr>
          <w:rFonts w:ascii="Arial" w:hAnsi="Arial" w:cs="Arial"/>
        </w:rPr>
      </w:pPr>
    </w:p>
    <w:p w14:paraId="6CC57C9B" w14:textId="77777777" w:rsidR="00FD7E4E" w:rsidRDefault="00FD7E4E" w:rsidP="00C470C6">
      <w:pPr>
        <w:tabs>
          <w:tab w:val="left" w:pos="284"/>
        </w:tabs>
        <w:spacing w:after="0" w:line="312" w:lineRule="auto"/>
        <w:jc w:val="both"/>
        <w:rPr>
          <w:rFonts w:ascii="Arial" w:hAnsi="Arial" w:cs="Arial"/>
        </w:rPr>
      </w:pPr>
    </w:p>
    <w:p w14:paraId="6F4A259D" w14:textId="77777777" w:rsidR="00FD7E4E" w:rsidRPr="008028D4"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Pr>
          <w:rFonts w:ascii="Arial" w:hAnsi="Arial"/>
          <w:u w:val="single"/>
        </w:rPr>
        <w:t>Indicazione d'uso:</w:t>
      </w:r>
      <w:r>
        <w:rPr>
          <w:rFonts w:ascii="Arial" w:hAnsi="Arial"/>
        </w:rPr>
        <w:t xml:space="preserve"> questo modello di decisione rappresenta uno strumento ausiliario del Cantone. Una decisione deve essere redatta in base al singolo caso concreto. Questo modello non sostituisce una consulenza legale. Le formulazioni contenute in questo modello hanno mero carattere di proposta. I passaggi di testo che devono essere integrati o precisati in ogni caso da parte del Comune vengono resi individuabili con i segnaposto messi tra parentesi quadre […] e si trovano su sfondo grigio.</w:t>
      </w:r>
    </w:p>
    <w:p w14:paraId="0A91FA0A" w14:textId="77777777" w:rsidR="00FD7E4E" w:rsidRPr="008028D4" w:rsidRDefault="00FD7E4E" w:rsidP="00FD7E4E">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rPr>
          <w:rFonts w:ascii="Arial" w:hAnsi="Arial" w:cs="Arial"/>
        </w:rPr>
      </w:pPr>
      <w:r>
        <w:rPr>
          <w:rFonts w:ascii="Arial" w:hAnsi="Arial"/>
        </w:rPr>
        <w:t>Per garantire il diritto di essere sentiti, in ogni singolo caso occorre prendere posizione concretamente riguardo alle obiezioni e alle spiegazioni formulate dai proprietari fondiari o dai titolari del diritto di superficie interessati.</w:t>
      </w:r>
    </w:p>
    <w:p w14:paraId="1D320ACE" w14:textId="77777777" w:rsidR="00B05748" w:rsidRDefault="00B05748" w:rsidP="00F7704A">
      <w:pPr>
        <w:tabs>
          <w:tab w:val="left" w:pos="284"/>
        </w:tabs>
        <w:spacing w:after="0" w:line="312" w:lineRule="auto"/>
        <w:jc w:val="both"/>
        <w:rPr>
          <w:rFonts w:ascii="Arial" w:hAnsi="Arial" w:cs="Arial"/>
        </w:rPr>
      </w:pPr>
    </w:p>
    <w:p w14:paraId="23D54B04" w14:textId="77777777" w:rsidR="00B05748" w:rsidRPr="00DB42F2" w:rsidRDefault="00B05748" w:rsidP="00681B54">
      <w:pPr>
        <w:tabs>
          <w:tab w:val="left" w:pos="284"/>
        </w:tabs>
        <w:spacing w:after="0" w:line="312" w:lineRule="auto"/>
        <w:ind w:left="284" w:hanging="284"/>
        <w:jc w:val="both"/>
        <w:rPr>
          <w:rFonts w:ascii="Arial" w:hAnsi="Arial" w:cs="Arial"/>
        </w:rPr>
      </w:pPr>
    </w:p>
    <w:p w14:paraId="48ABAB8C" w14:textId="77777777" w:rsidR="00F2420F" w:rsidRPr="00681B54" w:rsidRDefault="00417176">
      <w:pPr>
        <w:rPr>
          <w:rFonts w:ascii="Arial" w:hAnsi="Arial" w:cs="Arial"/>
        </w:rPr>
      </w:pPr>
    </w:p>
    <w:sectPr w:rsidR="00F2420F" w:rsidRPr="00681B54" w:rsidSect="00610C87">
      <w:head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BFCBF" w14:textId="77777777" w:rsidR="000C3909" w:rsidRDefault="000C3909" w:rsidP="00681B54">
      <w:pPr>
        <w:spacing w:after="0" w:line="240" w:lineRule="auto"/>
      </w:pPr>
      <w:r>
        <w:separator/>
      </w:r>
    </w:p>
  </w:endnote>
  <w:endnote w:type="continuationSeparator" w:id="0">
    <w:p w14:paraId="17A8FEDA" w14:textId="77777777" w:rsidR="000C3909" w:rsidRDefault="000C3909" w:rsidP="00681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1048E" w14:textId="77777777" w:rsidR="000C3909" w:rsidRDefault="000C3909" w:rsidP="00681B54">
      <w:pPr>
        <w:spacing w:after="0" w:line="240" w:lineRule="auto"/>
      </w:pPr>
      <w:r>
        <w:separator/>
      </w:r>
    </w:p>
  </w:footnote>
  <w:footnote w:type="continuationSeparator" w:id="0">
    <w:p w14:paraId="33CF1CE4" w14:textId="77777777" w:rsidR="000C3909" w:rsidRDefault="000C3909" w:rsidP="00681B54">
      <w:pPr>
        <w:spacing w:after="0" w:line="240" w:lineRule="auto"/>
      </w:pPr>
      <w:r>
        <w:continuationSeparator/>
      </w:r>
    </w:p>
  </w:footnote>
  <w:footnote w:id="1">
    <w:p w14:paraId="271F0071" w14:textId="77777777" w:rsidR="00CA7AC2" w:rsidRDefault="00CA7AC2" w:rsidP="00CA7AC2">
      <w:pPr>
        <w:pStyle w:val="Funotentext"/>
      </w:pPr>
      <w:r>
        <w:rPr>
          <w:rStyle w:val="Funotenzeichen"/>
        </w:rPr>
        <w:footnoteRef/>
      </w:r>
      <w:r>
        <w:t xml:space="preserve"> </w:t>
      </w:r>
      <w:r>
        <w:rPr>
          <w:rFonts w:ascii="Arial" w:hAnsi="Arial"/>
          <w:sz w:val="18"/>
        </w:rPr>
        <w:t>Nel quadro dell'ordinamento base i comuni possono abbreviare questo termine oppure prolungarlo fino a un massimo di dieci anni (art. 19c cpv. 2 LPTC).</w:t>
      </w:r>
      <w:r>
        <w:t xml:space="preserve"> </w:t>
      </w:r>
    </w:p>
  </w:footnote>
  <w:footnote w:id="2">
    <w:p w14:paraId="6B60B123" w14:textId="77777777" w:rsidR="00CA7AC2" w:rsidRDefault="00CA7AC2" w:rsidP="00CA7AC2">
      <w:pPr>
        <w:pStyle w:val="Funotentext"/>
      </w:pPr>
      <w:r>
        <w:rPr>
          <w:rStyle w:val="Funotenzeichen"/>
        </w:rPr>
        <w:footnoteRef/>
      </w:r>
      <w:r>
        <w:t xml:space="preserve"> </w:t>
      </w:r>
      <w:r>
        <w:rPr>
          <w:rFonts w:ascii="Arial" w:hAnsi="Arial"/>
          <w:sz w:val="18"/>
        </w:rPr>
        <w:t>Nel quadro dell'ordinamento base i comuni possono abbreviare questo termine oppure prolungarlo fino a un massimo di dieci anni (art. 19c cpv. 2 LPTC).</w:t>
      </w:r>
      <w:r>
        <w:t xml:space="preserve"> </w:t>
      </w:r>
    </w:p>
  </w:footnote>
  <w:footnote w:id="3">
    <w:p w14:paraId="7778847F" w14:textId="77777777" w:rsidR="003E6F4C" w:rsidRDefault="003E6F4C">
      <w:pPr>
        <w:pStyle w:val="Funotentext"/>
      </w:pPr>
      <w:r>
        <w:rPr>
          <w:rStyle w:val="Funotenzeichen"/>
        </w:rPr>
        <w:footnoteRef/>
      </w:r>
      <w:r>
        <w:t xml:space="preserve"> </w:t>
      </w:r>
      <w:r>
        <w:rPr>
          <w:rFonts w:ascii="Arial" w:hAnsi="Arial"/>
          <w:sz w:val="18"/>
        </w:rPr>
        <w:t>È importante tenere conto del fatto che la decorrenza del termine è sospesa se l'inizio dei lavori ritarda a causa di procedure d'impugnazione o per motivi che non sono imputabili al titolare dell'obbligo di costruire (art. 19c cpv. 4 LPTC).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108859"/>
      <w:docPartObj>
        <w:docPartGallery w:val="Page Numbers (Top of Page)"/>
        <w:docPartUnique/>
      </w:docPartObj>
    </w:sdtPr>
    <w:sdtEndPr>
      <w:rPr>
        <w:rFonts w:ascii="Arial" w:hAnsi="Arial" w:cs="Arial"/>
      </w:rPr>
    </w:sdtEndPr>
    <w:sdtContent>
      <w:p w14:paraId="1018C8AB" w14:textId="6B619E51" w:rsidR="00F54BD6" w:rsidRPr="00610C87" w:rsidRDefault="00610C87" w:rsidP="00610C87">
        <w:pPr>
          <w:pStyle w:val="Kopfzeile"/>
          <w:jc w:val="center"/>
          <w:rPr>
            <w:rFonts w:ascii="Arial" w:hAnsi="Arial" w:cs="Arial"/>
          </w:rPr>
        </w:pPr>
        <w:r w:rsidRPr="00610C87">
          <w:rPr>
            <w:rFonts w:ascii="Arial" w:hAnsi="Arial" w:cs="Arial"/>
          </w:rPr>
          <w:fldChar w:fldCharType="begin"/>
        </w:r>
        <w:r w:rsidRPr="00610C87">
          <w:rPr>
            <w:rFonts w:ascii="Arial" w:hAnsi="Arial" w:cs="Arial"/>
          </w:rPr>
          <w:instrText>PAGE   \* MERGEFORMAT</w:instrText>
        </w:r>
        <w:r w:rsidRPr="00610C87">
          <w:rPr>
            <w:rFonts w:ascii="Arial" w:hAnsi="Arial" w:cs="Arial"/>
          </w:rPr>
          <w:fldChar w:fldCharType="separate"/>
        </w:r>
        <w:r w:rsidR="00417176">
          <w:rPr>
            <w:rFonts w:ascii="Arial" w:hAnsi="Arial" w:cs="Arial"/>
            <w:noProof/>
          </w:rPr>
          <w:t>5</w:t>
        </w:r>
        <w:r w:rsidRPr="00610C87">
          <w:rPr>
            <w:rFonts w:ascii="Arial" w:hAnsi="Arial" w:cs="Arial"/>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0486F" w14:textId="77777777" w:rsidR="00610C87" w:rsidRPr="00A260AA" w:rsidRDefault="00610C87"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b/>
        <w:sz w:val="24"/>
        <w:szCs w:val="16"/>
      </w:rPr>
    </w:pPr>
    <w:r>
      <w:rPr>
        <w:rFonts w:ascii="Arial" w:hAnsi="Arial"/>
        <w:b/>
        <w:sz w:val="24"/>
      </w:rPr>
      <w:t>Guida d'applicazione B6</w:t>
    </w:r>
  </w:p>
  <w:p w14:paraId="35E7AA15" w14:textId="34A3B2AB" w:rsidR="00A260AA" w:rsidRPr="000023AF" w:rsidRDefault="00A260AA" w:rsidP="00610C87">
    <w:pPr>
      <w:pBdr>
        <w:top w:val="single" w:sz="4" w:space="1" w:color="auto"/>
        <w:left w:val="single" w:sz="4" w:space="4" w:color="auto"/>
        <w:bottom w:val="single" w:sz="4" w:space="1" w:color="auto"/>
        <w:right w:val="single" w:sz="4" w:space="4" w:color="auto"/>
      </w:pBdr>
      <w:tabs>
        <w:tab w:val="center" w:pos="4536"/>
        <w:tab w:val="right" w:pos="9072"/>
      </w:tabs>
      <w:spacing w:after="0" w:line="312" w:lineRule="auto"/>
      <w:jc w:val="right"/>
      <w:outlineLvl w:val="1"/>
      <w:rPr>
        <w:rFonts w:ascii="Arial" w:eastAsia="Calibri" w:hAnsi="Arial" w:cs="Arial"/>
        <w:sz w:val="16"/>
        <w:szCs w:val="16"/>
      </w:rPr>
    </w:pPr>
    <w:r>
      <w:rPr>
        <w:rFonts w:ascii="Arial" w:hAnsi="Arial"/>
        <w:sz w:val="16"/>
      </w:rPr>
      <w:t>Ufficio per lo sviluppo del territorio dei Grigioni, versione stato 2</w:t>
    </w:r>
    <w:r w:rsidR="008273E6">
      <w:rPr>
        <w:rFonts w:ascii="Arial" w:hAnsi="Arial"/>
        <w:sz w:val="16"/>
      </w:rPr>
      <w:t>0</w:t>
    </w:r>
    <w:r>
      <w:rPr>
        <w:rFonts w:ascii="Arial" w:hAnsi="Arial"/>
        <w:sz w:val="16"/>
      </w:rPr>
      <w:t>.</w:t>
    </w:r>
    <w:r w:rsidR="008273E6">
      <w:rPr>
        <w:rFonts w:ascii="Arial" w:hAnsi="Arial"/>
        <w:sz w:val="16"/>
      </w:rPr>
      <w:t>12</w:t>
    </w:r>
    <w:r>
      <w:rPr>
        <w:rFonts w:ascii="Arial" w:hAnsi="Arial"/>
        <w:sz w:val="16"/>
      </w:rPr>
      <w:t>.202</w:t>
    </w:r>
    <w:r w:rsidR="008273E6">
      <w:rPr>
        <w:rFonts w:ascii="Arial" w:hAnsi="Arial"/>
        <w:sz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043"/>
    <w:multiLevelType w:val="hybridMultilevel"/>
    <w:tmpl w:val="9D622336"/>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B361DF9"/>
    <w:multiLevelType w:val="hybridMultilevel"/>
    <w:tmpl w:val="F80C81BE"/>
    <w:lvl w:ilvl="0" w:tplc="F73C6576">
      <w:start w:val="1"/>
      <w:numFmt w:val="decimal"/>
      <w:pStyle w:val="Haupttext2"/>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2"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4" w15:restartNumberingAfterBreak="0">
    <w:nsid w:val="4E915239"/>
    <w:multiLevelType w:val="hybridMultilevel"/>
    <w:tmpl w:val="3F28700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EFB3B4D"/>
    <w:multiLevelType w:val="hybridMultilevel"/>
    <w:tmpl w:val="93E8C20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45B6399"/>
    <w:multiLevelType w:val="multilevel"/>
    <w:tmpl w:val="12F0F98E"/>
    <w:lvl w:ilvl="0">
      <w:start w:val="1"/>
      <w:numFmt w:val="decimal"/>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A437C4D"/>
    <w:multiLevelType w:val="hybridMultilevel"/>
    <w:tmpl w:val="3F32ECA0"/>
    <w:lvl w:ilvl="0" w:tplc="3E20D7F0">
      <w:start w:val="1"/>
      <w:numFmt w:val="lowerLetter"/>
      <w:pStyle w:val="berschrift3"/>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8" w15:restartNumberingAfterBreak="0">
    <w:nsid w:val="6FE61CE8"/>
    <w:multiLevelType w:val="hybridMultilevel"/>
    <w:tmpl w:val="A68CB258"/>
    <w:lvl w:ilvl="0" w:tplc="66AEB8A8">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73455D59"/>
    <w:multiLevelType w:val="hybridMultilevel"/>
    <w:tmpl w:val="69BE1C4E"/>
    <w:lvl w:ilvl="0" w:tplc="45D69AE2">
      <w:start w:val="1"/>
      <w:numFmt w:val="decimal"/>
      <w:pStyle w:val="berschrift2"/>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79561A9E"/>
    <w:multiLevelType w:val="hybridMultilevel"/>
    <w:tmpl w:val="782E014C"/>
    <w:lvl w:ilvl="0" w:tplc="30580384">
      <w:start w:val="1"/>
      <w:numFmt w:val="upperRoman"/>
      <w:pStyle w:val="berschrift1"/>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0"/>
  </w:num>
  <w:num w:numId="2">
    <w:abstractNumId w:val="9"/>
  </w:num>
  <w:num w:numId="3">
    <w:abstractNumId w:val="2"/>
  </w:num>
  <w:num w:numId="4">
    <w:abstractNumId w:val="9"/>
    <w:lvlOverride w:ilvl="0">
      <w:startOverride w:val="5"/>
    </w:lvlOverride>
  </w:num>
  <w:num w:numId="5">
    <w:abstractNumId w:val="8"/>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num>
  <w:num w:numId="11">
    <w:abstractNumId w:val="1"/>
    <w:lvlOverride w:ilvl="0">
      <w:startOverride w:val="1"/>
    </w:lvlOverride>
  </w:num>
  <w:num w:numId="12">
    <w:abstractNumId w:val="3"/>
  </w:num>
  <w:num w:numId="13">
    <w:abstractNumId w:val="1"/>
  </w:num>
  <w:num w:numId="14">
    <w:abstractNumId w:val="1"/>
  </w:num>
  <w:num w:numId="15">
    <w:abstractNumId w:val="1"/>
  </w:num>
  <w:num w:numId="16">
    <w:abstractNumId w:val="1"/>
  </w:num>
  <w:num w:numId="17">
    <w:abstractNumId w:val="4"/>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54"/>
    <w:rsid w:val="000023AF"/>
    <w:rsid w:val="000231AA"/>
    <w:rsid w:val="00085AC2"/>
    <w:rsid w:val="000B599B"/>
    <w:rsid w:val="000C11AF"/>
    <w:rsid w:val="000C323C"/>
    <w:rsid w:val="000C3909"/>
    <w:rsid w:val="000E0A42"/>
    <w:rsid w:val="001057C0"/>
    <w:rsid w:val="00120120"/>
    <w:rsid w:val="00134B6D"/>
    <w:rsid w:val="00136CFF"/>
    <w:rsid w:val="00161C61"/>
    <w:rsid w:val="001A2422"/>
    <w:rsid w:val="001B1F48"/>
    <w:rsid w:val="001B6E0E"/>
    <w:rsid w:val="001C0818"/>
    <w:rsid w:val="001E48A1"/>
    <w:rsid w:val="002000AB"/>
    <w:rsid w:val="00205D2A"/>
    <w:rsid w:val="002229F3"/>
    <w:rsid w:val="00224B69"/>
    <w:rsid w:val="00232374"/>
    <w:rsid w:val="00267E69"/>
    <w:rsid w:val="00293319"/>
    <w:rsid w:val="002C563A"/>
    <w:rsid w:val="002F5F29"/>
    <w:rsid w:val="00354755"/>
    <w:rsid w:val="003870A0"/>
    <w:rsid w:val="003E6F4C"/>
    <w:rsid w:val="00417176"/>
    <w:rsid w:val="00424395"/>
    <w:rsid w:val="00480CDB"/>
    <w:rsid w:val="00487F0F"/>
    <w:rsid w:val="00490452"/>
    <w:rsid w:val="004F41B0"/>
    <w:rsid w:val="00534F3F"/>
    <w:rsid w:val="005450B5"/>
    <w:rsid w:val="0055695E"/>
    <w:rsid w:val="00590C14"/>
    <w:rsid w:val="00590E1B"/>
    <w:rsid w:val="005C200E"/>
    <w:rsid w:val="00610C87"/>
    <w:rsid w:val="00643A3F"/>
    <w:rsid w:val="0065730C"/>
    <w:rsid w:val="00664CB9"/>
    <w:rsid w:val="00681B54"/>
    <w:rsid w:val="00683562"/>
    <w:rsid w:val="006D73FD"/>
    <w:rsid w:val="007241F2"/>
    <w:rsid w:val="007659C2"/>
    <w:rsid w:val="007877A5"/>
    <w:rsid w:val="00797350"/>
    <w:rsid w:val="007A069F"/>
    <w:rsid w:val="007C22DA"/>
    <w:rsid w:val="007D01F3"/>
    <w:rsid w:val="007E3A25"/>
    <w:rsid w:val="007F297D"/>
    <w:rsid w:val="007F330F"/>
    <w:rsid w:val="00817CF7"/>
    <w:rsid w:val="008273E6"/>
    <w:rsid w:val="008414D3"/>
    <w:rsid w:val="00896B6B"/>
    <w:rsid w:val="009155AE"/>
    <w:rsid w:val="0091689F"/>
    <w:rsid w:val="00930538"/>
    <w:rsid w:val="009842FE"/>
    <w:rsid w:val="00986021"/>
    <w:rsid w:val="009A43A7"/>
    <w:rsid w:val="009B0A23"/>
    <w:rsid w:val="009B34CC"/>
    <w:rsid w:val="009F3C69"/>
    <w:rsid w:val="00A14DB6"/>
    <w:rsid w:val="00A260AA"/>
    <w:rsid w:val="00A471AD"/>
    <w:rsid w:val="00A875A3"/>
    <w:rsid w:val="00AB75E4"/>
    <w:rsid w:val="00AC2D30"/>
    <w:rsid w:val="00AE78B8"/>
    <w:rsid w:val="00B05748"/>
    <w:rsid w:val="00B327D1"/>
    <w:rsid w:val="00B667F5"/>
    <w:rsid w:val="00B7606D"/>
    <w:rsid w:val="00BC21A1"/>
    <w:rsid w:val="00BE54C1"/>
    <w:rsid w:val="00BF4F38"/>
    <w:rsid w:val="00BF6C48"/>
    <w:rsid w:val="00C2743F"/>
    <w:rsid w:val="00C470C6"/>
    <w:rsid w:val="00C5128C"/>
    <w:rsid w:val="00C6686E"/>
    <w:rsid w:val="00C80476"/>
    <w:rsid w:val="00CA1A1E"/>
    <w:rsid w:val="00CA7AC2"/>
    <w:rsid w:val="00CB5F8F"/>
    <w:rsid w:val="00D87CB4"/>
    <w:rsid w:val="00DB062C"/>
    <w:rsid w:val="00DB42F2"/>
    <w:rsid w:val="00DC10FE"/>
    <w:rsid w:val="00DE5803"/>
    <w:rsid w:val="00E01761"/>
    <w:rsid w:val="00E10634"/>
    <w:rsid w:val="00E56264"/>
    <w:rsid w:val="00E62091"/>
    <w:rsid w:val="00E6448B"/>
    <w:rsid w:val="00E649C3"/>
    <w:rsid w:val="00E751C9"/>
    <w:rsid w:val="00E9558B"/>
    <w:rsid w:val="00EA208C"/>
    <w:rsid w:val="00EB0804"/>
    <w:rsid w:val="00ED29BC"/>
    <w:rsid w:val="00ED5E9F"/>
    <w:rsid w:val="00F27827"/>
    <w:rsid w:val="00F3782D"/>
    <w:rsid w:val="00F40F40"/>
    <w:rsid w:val="00F46E30"/>
    <w:rsid w:val="00F54BD6"/>
    <w:rsid w:val="00F74DDD"/>
    <w:rsid w:val="00F7704A"/>
    <w:rsid w:val="00FC0A6D"/>
    <w:rsid w:val="00FD59AB"/>
    <w:rsid w:val="00FD7E4E"/>
    <w:rsid w:val="00FE1A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9086AFC"/>
  <w15:chartTrackingRefBased/>
  <w15:docId w15:val="{26F749C6-6351-453C-9121-56CCDD8C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heme="minorHAnsi" w:hAnsi="CG Times" w:cs="Times New Roman"/>
        <w:lang w:val="it-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1B54"/>
    <w:pPr>
      <w:spacing w:after="200" w:line="276" w:lineRule="auto"/>
    </w:pPr>
    <w:rPr>
      <w:rFonts w:asciiTheme="minorHAnsi" w:hAnsiTheme="minorHAnsi" w:cstheme="minorBidi"/>
      <w:sz w:val="22"/>
      <w:szCs w:val="22"/>
    </w:rPr>
  </w:style>
  <w:style w:type="paragraph" w:styleId="berschrift1">
    <w:name w:val="heading 1"/>
    <w:basedOn w:val="Listenabsatz"/>
    <w:next w:val="Standard"/>
    <w:link w:val="berschrift1Zchn"/>
    <w:autoRedefine/>
    <w:uiPriority w:val="9"/>
    <w:qFormat/>
    <w:rsid w:val="00224B69"/>
    <w:pPr>
      <w:numPr>
        <w:numId w:val="1"/>
      </w:numPr>
      <w:spacing w:before="240" w:after="240" w:line="312" w:lineRule="auto"/>
      <w:ind w:left="567" w:hanging="567"/>
      <w:jc w:val="both"/>
      <w:outlineLvl w:val="0"/>
    </w:pPr>
    <w:rPr>
      <w:rFonts w:ascii="Arial" w:hAnsi="Arial" w:cs="Arial"/>
      <w:b/>
      <w:sz w:val="24"/>
      <w:szCs w:val="24"/>
    </w:rPr>
  </w:style>
  <w:style w:type="paragraph" w:styleId="berschrift2">
    <w:name w:val="heading 2"/>
    <w:basedOn w:val="Listenabsatz"/>
    <w:next w:val="Standard"/>
    <w:link w:val="berschrift2Zchn"/>
    <w:autoRedefine/>
    <w:qFormat/>
    <w:rsid w:val="00681B54"/>
    <w:pPr>
      <w:numPr>
        <w:numId w:val="2"/>
      </w:numPr>
      <w:spacing w:before="360" w:after="240"/>
      <w:outlineLvl w:val="1"/>
    </w:pPr>
    <w:rPr>
      <w:rFonts w:ascii="Arial" w:hAnsi="Arial" w:cs="Arial"/>
      <w:b/>
      <w:sz w:val="24"/>
    </w:rPr>
  </w:style>
  <w:style w:type="paragraph" w:styleId="berschrift3">
    <w:name w:val="heading 3"/>
    <w:basedOn w:val="Haupttext2"/>
    <w:next w:val="Standard"/>
    <w:link w:val="berschrift3Zchn"/>
    <w:uiPriority w:val="9"/>
    <w:unhideWhenUsed/>
    <w:qFormat/>
    <w:rsid w:val="00F40F40"/>
    <w:pPr>
      <w:numPr>
        <w:numId w:val="19"/>
      </w:numPr>
      <w:ind w:left="567" w:hanging="567"/>
      <w:outlineLvl w:val="2"/>
    </w:pPr>
    <w:rPr>
      <w:i/>
    </w:rPr>
  </w:style>
  <w:style w:type="paragraph" w:styleId="berschrift4">
    <w:name w:val="heading 4"/>
    <w:basedOn w:val="Standard"/>
    <w:next w:val="Standard"/>
    <w:link w:val="berschrift4Zchn"/>
    <w:unhideWhenUsed/>
    <w:qFormat/>
    <w:rsid w:val="007C22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B54"/>
    <w:pPr>
      <w:tabs>
        <w:tab w:val="center" w:pos="4536"/>
        <w:tab w:val="right" w:pos="9072"/>
      </w:tabs>
    </w:pPr>
  </w:style>
  <w:style w:type="character" w:customStyle="1" w:styleId="KopfzeileZchn">
    <w:name w:val="Kopfzeile Zchn"/>
    <w:basedOn w:val="Absatz-Standardschriftart"/>
    <w:link w:val="Kopfzeile"/>
    <w:uiPriority w:val="99"/>
    <w:rsid w:val="00681B54"/>
  </w:style>
  <w:style w:type="paragraph" w:styleId="Fuzeile">
    <w:name w:val="footer"/>
    <w:basedOn w:val="Funotentext"/>
    <w:link w:val="FuzeileZchn"/>
    <w:unhideWhenUsed/>
    <w:rsid w:val="007659C2"/>
    <w:pPr>
      <w:spacing w:after="120"/>
    </w:pPr>
    <w:rPr>
      <w:rFonts w:ascii="Arial" w:hAnsi="Arial" w:cs="Arial"/>
      <w:sz w:val="18"/>
      <w:szCs w:val="18"/>
    </w:rPr>
  </w:style>
  <w:style w:type="character" w:customStyle="1" w:styleId="FuzeileZchn">
    <w:name w:val="Fußzeile Zchn"/>
    <w:basedOn w:val="Absatz-Standardschriftart"/>
    <w:link w:val="Fuzeile"/>
    <w:rsid w:val="007659C2"/>
    <w:rPr>
      <w:rFonts w:ascii="Arial" w:hAnsi="Arial" w:cs="Arial"/>
      <w:sz w:val="18"/>
      <w:szCs w:val="18"/>
    </w:rPr>
  </w:style>
  <w:style w:type="character" w:customStyle="1" w:styleId="berschrift1Zchn">
    <w:name w:val="Überschrift 1 Zchn"/>
    <w:basedOn w:val="Absatz-Standardschriftart"/>
    <w:link w:val="berschrift1"/>
    <w:uiPriority w:val="9"/>
    <w:rsid w:val="00224B69"/>
    <w:rPr>
      <w:rFonts w:ascii="Arial" w:hAnsi="Arial" w:cs="Arial"/>
      <w:b/>
      <w:sz w:val="24"/>
      <w:szCs w:val="24"/>
    </w:rPr>
  </w:style>
  <w:style w:type="character" w:customStyle="1" w:styleId="berschrift2Zchn">
    <w:name w:val="Überschrift 2 Zchn"/>
    <w:basedOn w:val="Absatz-Standardschriftart"/>
    <w:link w:val="berschrift2"/>
    <w:rsid w:val="00681B54"/>
    <w:rPr>
      <w:rFonts w:ascii="Arial" w:hAnsi="Arial" w:cs="Arial"/>
      <w:b/>
      <w:sz w:val="24"/>
      <w:szCs w:val="22"/>
    </w:rPr>
  </w:style>
  <w:style w:type="paragraph" w:styleId="Listenabsatz">
    <w:name w:val="List Paragraph"/>
    <w:basedOn w:val="Standard"/>
    <w:uiPriority w:val="34"/>
    <w:qFormat/>
    <w:rsid w:val="00681B54"/>
    <w:pPr>
      <w:spacing w:after="0" w:line="240" w:lineRule="auto"/>
      <w:ind w:left="720"/>
    </w:pPr>
    <w:rPr>
      <w:rFonts w:ascii="Calibri" w:hAnsi="Calibri"/>
    </w:rPr>
  </w:style>
  <w:style w:type="paragraph" w:customStyle="1" w:styleId="Haupttext">
    <w:name w:val="Haupttext"/>
    <w:basedOn w:val="Standard"/>
    <w:qFormat/>
    <w:rsid w:val="00681B54"/>
    <w:pPr>
      <w:spacing w:after="180" w:line="312" w:lineRule="auto"/>
      <w:jc w:val="both"/>
    </w:pPr>
    <w:rPr>
      <w:rFonts w:ascii="Arial" w:hAnsi="Arial" w:cs="Arial"/>
    </w:rPr>
  </w:style>
  <w:style w:type="paragraph" w:styleId="Endnotentext">
    <w:name w:val="endnote text"/>
    <w:basedOn w:val="Standard"/>
    <w:link w:val="EndnotentextZchn"/>
    <w:uiPriority w:val="99"/>
    <w:semiHidden/>
    <w:unhideWhenUsed/>
    <w:rsid w:val="00681B5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81B54"/>
    <w:rPr>
      <w:rFonts w:asciiTheme="minorHAnsi" w:hAnsiTheme="minorHAnsi" w:cstheme="minorBidi"/>
    </w:rPr>
  </w:style>
  <w:style w:type="character" w:styleId="Endnotenzeichen">
    <w:name w:val="endnote reference"/>
    <w:basedOn w:val="Absatz-Standardschriftart"/>
    <w:uiPriority w:val="99"/>
    <w:semiHidden/>
    <w:unhideWhenUsed/>
    <w:rsid w:val="00681B54"/>
    <w:rPr>
      <w:vertAlign w:val="superscript"/>
    </w:rPr>
  </w:style>
  <w:style w:type="paragraph" w:styleId="StandardWeb">
    <w:name w:val="Normal (Web)"/>
    <w:basedOn w:val="Standard"/>
    <w:uiPriority w:val="99"/>
    <w:semiHidden/>
    <w:unhideWhenUsed/>
    <w:rsid w:val="00A14DB6"/>
    <w:pPr>
      <w:spacing w:after="100" w:afterAutospacing="1" w:line="240" w:lineRule="auto"/>
    </w:pPr>
    <w:rPr>
      <w:rFonts w:ascii="Times New Roman" w:eastAsia="Times New Roman" w:hAnsi="Times New Roman" w:cs="Times New Roman"/>
      <w:sz w:val="24"/>
      <w:szCs w:val="24"/>
      <w:lang w:eastAsia="de-CH"/>
    </w:rPr>
  </w:style>
  <w:style w:type="character" w:customStyle="1" w:styleId="articlesymbol">
    <w:name w:val="article_symbol"/>
    <w:basedOn w:val="Absatz-Standardschriftart"/>
    <w:rsid w:val="00A14DB6"/>
  </w:style>
  <w:style w:type="character" w:customStyle="1" w:styleId="number">
    <w:name w:val="number"/>
    <w:basedOn w:val="Absatz-Standardschriftart"/>
    <w:rsid w:val="00A14DB6"/>
  </w:style>
  <w:style w:type="character" w:customStyle="1" w:styleId="titletext">
    <w:name w:val="title_text"/>
    <w:basedOn w:val="Absatz-Standardschriftart"/>
    <w:rsid w:val="00A14DB6"/>
  </w:style>
  <w:style w:type="character" w:customStyle="1" w:styleId="textcontent">
    <w:name w:val="text_content"/>
    <w:basedOn w:val="Absatz-Standardschriftart"/>
    <w:rsid w:val="00A14DB6"/>
  </w:style>
  <w:style w:type="character" w:customStyle="1" w:styleId="Anrede1Zchn">
    <w:name w:val="Anrede1 Zchn"/>
    <w:basedOn w:val="Absatz-Standardschriftart"/>
    <w:link w:val="Anrede1"/>
    <w:locked/>
    <w:rsid w:val="0065730C"/>
    <w:rPr>
      <w:rFonts w:ascii="Verdana" w:hAnsi="Verdana"/>
      <w:sz w:val="18"/>
      <w:lang w:eastAsia="de-DE"/>
    </w:rPr>
  </w:style>
  <w:style w:type="paragraph" w:customStyle="1" w:styleId="Anrede1">
    <w:name w:val="Anrede1"/>
    <w:basedOn w:val="Standard"/>
    <w:link w:val="Anrede1Zchn"/>
    <w:qFormat/>
    <w:rsid w:val="0065730C"/>
    <w:pPr>
      <w:spacing w:after="320" w:line="312" w:lineRule="auto"/>
      <w:contextualSpacing/>
      <w:jc w:val="both"/>
    </w:pPr>
    <w:rPr>
      <w:rFonts w:ascii="Verdana" w:hAnsi="Verdana" w:cs="Times New Roman"/>
      <w:sz w:val="18"/>
      <w:szCs w:val="20"/>
      <w:lang w:eastAsia="de-DE"/>
    </w:rPr>
  </w:style>
  <w:style w:type="paragraph" w:styleId="Sprechblasentext">
    <w:name w:val="Balloon Text"/>
    <w:basedOn w:val="Standard"/>
    <w:link w:val="SprechblasentextZchn"/>
    <w:uiPriority w:val="99"/>
    <w:semiHidden/>
    <w:unhideWhenUsed/>
    <w:rsid w:val="009155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55AE"/>
    <w:rPr>
      <w:rFonts w:ascii="Segoe UI" w:hAnsi="Segoe UI" w:cs="Segoe UI"/>
      <w:sz w:val="18"/>
      <w:szCs w:val="18"/>
    </w:rPr>
  </w:style>
  <w:style w:type="paragraph" w:styleId="Funotentext">
    <w:name w:val="footnote text"/>
    <w:basedOn w:val="Standard"/>
    <w:link w:val="FunotentextZchn"/>
    <w:uiPriority w:val="99"/>
    <w:semiHidden/>
    <w:unhideWhenUsed/>
    <w:rsid w:val="007659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659C2"/>
    <w:rPr>
      <w:rFonts w:asciiTheme="minorHAnsi" w:hAnsiTheme="minorHAnsi" w:cstheme="minorBidi"/>
    </w:rPr>
  </w:style>
  <w:style w:type="character" w:styleId="Funotenzeichen">
    <w:name w:val="footnote reference"/>
    <w:basedOn w:val="Absatz-Standardschriftart"/>
    <w:uiPriority w:val="99"/>
    <w:semiHidden/>
    <w:unhideWhenUsed/>
    <w:rsid w:val="007659C2"/>
    <w:rPr>
      <w:vertAlign w:val="superscript"/>
    </w:rPr>
  </w:style>
  <w:style w:type="paragraph" w:customStyle="1" w:styleId="Haupttext2">
    <w:name w:val="Haupttext 2"/>
    <w:basedOn w:val="Listenabsatz"/>
    <w:autoRedefine/>
    <w:qFormat/>
    <w:rsid w:val="00DB062C"/>
    <w:pPr>
      <w:numPr>
        <w:numId w:val="9"/>
      </w:numPr>
      <w:spacing w:after="240" w:line="312" w:lineRule="auto"/>
      <w:ind w:left="567" w:hanging="567"/>
      <w:jc w:val="both"/>
    </w:pPr>
    <w:rPr>
      <w:rFonts w:ascii="Arial" w:hAnsi="Arial" w:cs="Arial"/>
    </w:rPr>
  </w:style>
  <w:style w:type="character" w:customStyle="1" w:styleId="berschrift4Zchn">
    <w:name w:val="Überschrift 4 Zchn"/>
    <w:basedOn w:val="Absatz-Standardschriftart"/>
    <w:link w:val="berschrift4"/>
    <w:rsid w:val="007C22DA"/>
    <w:rPr>
      <w:rFonts w:asciiTheme="majorHAnsi" w:eastAsiaTheme="majorEastAsia" w:hAnsiTheme="majorHAnsi" w:cstheme="majorBidi"/>
      <w:i/>
      <w:iCs/>
      <w:color w:val="2E74B5" w:themeColor="accent1" w:themeShade="BF"/>
      <w:sz w:val="22"/>
      <w:szCs w:val="22"/>
    </w:rPr>
  </w:style>
  <w:style w:type="character" w:customStyle="1" w:styleId="berschrift3Zchn">
    <w:name w:val="Überschrift 3 Zchn"/>
    <w:basedOn w:val="Absatz-Standardschriftart"/>
    <w:link w:val="berschrift3"/>
    <w:uiPriority w:val="9"/>
    <w:rsid w:val="00F40F40"/>
    <w:rPr>
      <w:rFonts w:ascii="Arial" w:hAnsi="Arial" w:cs="Arial"/>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50360">
      <w:bodyDiv w:val="1"/>
      <w:marLeft w:val="0"/>
      <w:marRight w:val="0"/>
      <w:marTop w:val="0"/>
      <w:marBottom w:val="0"/>
      <w:divBdr>
        <w:top w:val="none" w:sz="0" w:space="0" w:color="auto"/>
        <w:left w:val="none" w:sz="0" w:space="0" w:color="auto"/>
        <w:bottom w:val="none" w:sz="0" w:space="0" w:color="auto"/>
        <w:right w:val="none" w:sz="0" w:space="0" w:color="auto"/>
      </w:divBdr>
    </w:div>
    <w:div w:id="1649897181">
      <w:bodyDiv w:val="1"/>
      <w:marLeft w:val="0"/>
      <w:marRight w:val="0"/>
      <w:marTop w:val="0"/>
      <w:marBottom w:val="0"/>
      <w:divBdr>
        <w:top w:val="none" w:sz="0" w:space="0" w:color="auto"/>
        <w:left w:val="none" w:sz="0" w:space="0" w:color="auto"/>
        <w:bottom w:val="none" w:sz="0" w:space="0" w:color="auto"/>
        <w:right w:val="none" w:sz="0" w:space="0" w:color="auto"/>
      </w:divBdr>
      <w:divsChild>
        <w:div w:id="1074208142">
          <w:marLeft w:val="0"/>
          <w:marRight w:val="0"/>
          <w:marTop w:val="0"/>
          <w:marBottom w:val="0"/>
          <w:divBdr>
            <w:top w:val="none" w:sz="0" w:space="0" w:color="auto"/>
            <w:left w:val="none" w:sz="0" w:space="0" w:color="auto"/>
            <w:bottom w:val="none" w:sz="0" w:space="0" w:color="auto"/>
            <w:right w:val="none" w:sz="0" w:space="0" w:color="auto"/>
          </w:divBdr>
          <w:divsChild>
            <w:div w:id="1188830959">
              <w:marLeft w:val="0"/>
              <w:marRight w:val="0"/>
              <w:marTop w:val="0"/>
              <w:marBottom w:val="0"/>
              <w:divBdr>
                <w:top w:val="none" w:sz="0" w:space="0" w:color="auto"/>
                <w:left w:val="none" w:sz="0" w:space="0" w:color="auto"/>
                <w:bottom w:val="none" w:sz="0" w:space="0" w:color="auto"/>
                <w:right w:val="none" w:sz="0" w:space="0" w:color="auto"/>
              </w:divBdr>
              <w:divsChild>
                <w:div w:id="870261701">
                  <w:marLeft w:val="0"/>
                  <w:marRight w:val="0"/>
                  <w:marTop w:val="0"/>
                  <w:marBottom w:val="0"/>
                  <w:divBdr>
                    <w:top w:val="none" w:sz="0" w:space="0" w:color="auto"/>
                    <w:left w:val="none" w:sz="0" w:space="0" w:color="auto"/>
                    <w:bottom w:val="none" w:sz="0" w:space="0" w:color="auto"/>
                    <w:right w:val="none" w:sz="0" w:space="0" w:color="auto"/>
                  </w:divBdr>
                  <w:divsChild>
                    <w:div w:id="581765062">
                      <w:marLeft w:val="0"/>
                      <w:marRight w:val="0"/>
                      <w:marTop w:val="0"/>
                      <w:marBottom w:val="0"/>
                      <w:divBdr>
                        <w:top w:val="none" w:sz="0" w:space="0" w:color="auto"/>
                        <w:left w:val="none" w:sz="0" w:space="0" w:color="auto"/>
                        <w:bottom w:val="none" w:sz="0" w:space="0" w:color="auto"/>
                        <w:right w:val="none" w:sz="0" w:space="0" w:color="auto"/>
                      </w:divBdr>
                      <w:divsChild>
                        <w:div w:id="705062760">
                          <w:marLeft w:val="0"/>
                          <w:marRight w:val="0"/>
                          <w:marTop w:val="0"/>
                          <w:marBottom w:val="0"/>
                          <w:divBdr>
                            <w:top w:val="none" w:sz="0" w:space="0" w:color="auto"/>
                            <w:left w:val="none" w:sz="0" w:space="0" w:color="auto"/>
                            <w:bottom w:val="none" w:sz="0" w:space="0" w:color="auto"/>
                            <w:right w:val="none" w:sz="0" w:space="0" w:color="auto"/>
                          </w:divBdr>
                          <w:divsChild>
                            <w:div w:id="1498113612">
                              <w:marLeft w:val="0"/>
                              <w:marRight w:val="0"/>
                              <w:marTop w:val="0"/>
                              <w:marBottom w:val="0"/>
                              <w:divBdr>
                                <w:top w:val="none" w:sz="0" w:space="0" w:color="auto"/>
                                <w:left w:val="none" w:sz="0" w:space="0" w:color="auto"/>
                                <w:bottom w:val="none" w:sz="0" w:space="0" w:color="auto"/>
                                <w:right w:val="none" w:sz="0" w:space="0" w:color="auto"/>
                              </w:divBdr>
                              <w:divsChild>
                                <w:div w:id="57947389">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246692101">
                                          <w:marLeft w:val="0"/>
                                          <w:marRight w:val="0"/>
                                          <w:marTop w:val="0"/>
                                          <w:marBottom w:val="0"/>
                                          <w:divBdr>
                                            <w:top w:val="none" w:sz="0" w:space="0" w:color="auto"/>
                                            <w:left w:val="none" w:sz="0" w:space="0" w:color="auto"/>
                                            <w:bottom w:val="none" w:sz="0" w:space="0" w:color="auto"/>
                                            <w:right w:val="none" w:sz="0" w:space="0" w:color="auto"/>
                                          </w:divBdr>
                                          <w:divsChild>
                                            <w:div w:id="450437726">
                                              <w:marLeft w:val="0"/>
                                              <w:marRight w:val="0"/>
                                              <w:marTop w:val="0"/>
                                              <w:marBottom w:val="0"/>
                                              <w:divBdr>
                                                <w:top w:val="none" w:sz="0" w:space="0" w:color="auto"/>
                                                <w:left w:val="none" w:sz="0" w:space="0" w:color="auto"/>
                                                <w:bottom w:val="none" w:sz="0" w:space="0" w:color="auto"/>
                                                <w:right w:val="none" w:sz="0" w:space="0" w:color="auto"/>
                                              </w:divBdr>
                                              <w:divsChild>
                                                <w:div w:id="4655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091406">
      <w:bodyDiv w:val="1"/>
      <w:marLeft w:val="0"/>
      <w:marRight w:val="0"/>
      <w:marTop w:val="0"/>
      <w:marBottom w:val="0"/>
      <w:divBdr>
        <w:top w:val="none" w:sz="0" w:space="0" w:color="auto"/>
        <w:left w:val="none" w:sz="0" w:space="0" w:color="auto"/>
        <w:bottom w:val="none" w:sz="0" w:space="0" w:color="auto"/>
        <w:right w:val="none" w:sz="0" w:space="0" w:color="auto"/>
      </w:divBdr>
      <w:divsChild>
        <w:div w:id="1187521261">
          <w:marLeft w:val="-225"/>
          <w:marRight w:val="-225"/>
          <w:marTop w:val="0"/>
          <w:marBottom w:val="0"/>
          <w:divBdr>
            <w:top w:val="none" w:sz="0" w:space="0" w:color="auto"/>
            <w:left w:val="none" w:sz="0" w:space="0" w:color="auto"/>
            <w:bottom w:val="none" w:sz="0" w:space="0" w:color="auto"/>
            <w:right w:val="none" w:sz="0" w:space="0" w:color="auto"/>
          </w:divBdr>
          <w:divsChild>
            <w:div w:id="1292859736">
              <w:marLeft w:val="0"/>
              <w:marRight w:val="0"/>
              <w:marTop w:val="0"/>
              <w:marBottom w:val="0"/>
              <w:divBdr>
                <w:top w:val="none" w:sz="0" w:space="0" w:color="auto"/>
                <w:left w:val="none" w:sz="0" w:space="0" w:color="auto"/>
                <w:bottom w:val="none" w:sz="0" w:space="0" w:color="auto"/>
                <w:right w:val="none" w:sz="0" w:space="0" w:color="auto"/>
              </w:divBdr>
              <w:divsChild>
                <w:div w:id="963998683">
                  <w:marLeft w:val="0"/>
                  <w:marRight w:val="0"/>
                  <w:marTop w:val="0"/>
                  <w:marBottom w:val="0"/>
                  <w:divBdr>
                    <w:top w:val="none" w:sz="0" w:space="0" w:color="auto"/>
                    <w:left w:val="none" w:sz="0" w:space="0" w:color="auto"/>
                    <w:bottom w:val="none" w:sz="0" w:space="0" w:color="auto"/>
                    <w:right w:val="none" w:sz="0" w:space="0" w:color="auto"/>
                  </w:divBdr>
                  <w:divsChild>
                    <w:div w:id="1257788363">
                      <w:marLeft w:val="0"/>
                      <w:marRight w:val="0"/>
                      <w:marTop w:val="0"/>
                      <w:marBottom w:val="0"/>
                      <w:divBdr>
                        <w:top w:val="none" w:sz="0" w:space="0" w:color="auto"/>
                        <w:left w:val="none" w:sz="0" w:space="0" w:color="auto"/>
                        <w:bottom w:val="none" w:sz="0" w:space="0" w:color="auto"/>
                        <w:right w:val="none" w:sz="0" w:space="0" w:color="auto"/>
                      </w:divBdr>
                      <w:divsChild>
                        <w:div w:id="1528904821">
                          <w:marLeft w:val="0"/>
                          <w:marRight w:val="0"/>
                          <w:marTop w:val="0"/>
                          <w:marBottom w:val="0"/>
                          <w:divBdr>
                            <w:top w:val="none" w:sz="0" w:space="0" w:color="auto"/>
                            <w:left w:val="none" w:sz="0" w:space="0" w:color="auto"/>
                            <w:bottom w:val="none" w:sz="0" w:space="0" w:color="auto"/>
                            <w:right w:val="none" w:sz="0" w:space="0" w:color="auto"/>
                          </w:divBdr>
                          <w:divsChild>
                            <w:div w:id="313611911">
                              <w:marLeft w:val="0"/>
                              <w:marRight w:val="0"/>
                              <w:marTop w:val="0"/>
                              <w:marBottom w:val="0"/>
                              <w:divBdr>
                                <w:top w:val="none" w:sz="0" w:space="0" w:color="auto"/>
                                <w:left w:val="none" w:sz="0" w:space="0" w:color="auto"/>
                                <w:bottom w:val="none" w:sz="0" w:space="0" w:color="auto"/>
                                <w:right w:val="none" w:sz="0" w:space="0" w:color="auto"/>
                              </w:divBdr>
                            </w:div>
                            <w:div w:id="267810026">
                              <w:marLeft w:val="0"/>
                              <w:marRight w:val="0"/>
                              <w:marTop w:val="0"/>
                              <w:marBottom w:val="0"/>
                              <w:divBdr>
                                <w:top w:val="none" w:sz="0" w:space="0" w:color="auto"/>
                                <w:left w:val="none" w:sz="0" w:space="0" w:color="auto"/>
                                <w:bottom w:val="none" w:sz="0" w:space="0" w:color="auto"/>
                                <w:right w:val="none" w:sz="0" w:space="0" w:color="auto"/>
                              </w:divBdr>
                            </w:div>
                          </w:divsChild>
                        </w:div>
                        <w:div w:id="335938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ARENavigation xmlns="2d999939-2a46-46d1-8935-28b39244f330">Vollzugshilfen BLM / MWA</ARENavigation>
    <PublishingExpirationDate xmlns="http://schemas.microsoft.com/sharepoint/v3" xsi:nil="true"/>
    <CustomerID xmlns="b9bbc5c3-42c9-4c30-b7a3-3f0c5e2a5378"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3B1D-4841-42A5-A4EF-3E20CFCD57DF}">
  <ds:schemaRefs>
    <ds:schemaRef ds:uri="http://schemas.microsoft.com/sharepoint/v3/contenttype/forms"/>
  </ds:schemaRefs>
</ds:datastoreItem>
</file>

<file path=customXml/itemProps2.xml><?xml version="1.0" encoding="utf-8"?>
<ds:datastoreItem xmlns:ds="http://schemas.openxmlformats.org/officeDocument/2006/customXml" ds:itemID="{F483D617-A8F5-43AB-B002-6C29A2CEB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2D6DA-D831-48C4-9FAE-057421BD500F}">
  <ds:schemaRefs>
    <ds:schemaRef ds:uri="http://schemas.microsoft.com/office/2006/metadata/properties"/>
    <ds:schemaRef ds:uri="http://schemas.microsoft.com/office/infopath/2007/PartnerControls"/>
    <ds:schemaRef ds:uri="http://schemas.microsoft.com/sharepoint/v3"/>
    <ds:schemaRef ds:uri="2d999939-2a46-46d1-8935-28b39244f330"/>
    <ds:schemaRef ds:uri="b9bbc5c3-42c9-4c30-b7a3-3f0c5e2a5378"/>
  </ds:schemaRefs>
</ds:datastoreItem>
</file>

<file path=customXml/itemProps4.xml><?xml version="1.0" encoding="utf-8"?>
<ds:datastoreItem xmlns:ds="http://schemas.openxmlformats.org/officeDocument/2006/customXml" ds:itemID="{B5D4F3F2-5DEF-48E6-9BE0-062407B3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1097</Words>
  <Characters>6913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Mobilitazione di terreni edificabili (MTE) una volta decorso il termine dell'obbligo di edificazione</vt:lpstr>
    </vt:vector>
  </TitlesOfParts>
  <Company>N/A</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Mobilitazione di terreni edificabili (MTE) una volta decorso il termine dell'obbligo di edificazione</dc:title>
  <dc:subject/>
  <dc:creator>Corina Caluori</dc:creator>
  <cp:keywords/>
  <dc:description/>
  <cp:lastModifiedBy>Cadosch Adrian</cp:lastModifiedBy>
  <cp:revision>3</cp:revision>
  <cp:lastPrinted>2020-04-30T12:31:00Z</cp:lastPrinted>
  <dcterms:created xsi:type="dcterms:W3CDTF">2023-02-01T06:29:00Z</dcterms:created>
  <dcterms:modified xsi:type="dcterms:W3CDTF">2024-12-03T07:38:00Z</dcterms:modified>
  <cp:category>Mobilitazione di terreni edificabili (MTE) una volta decorso il termine dell'obbligo di edificazione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