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65B1A" w14:textId="77777777" w:rsidR="001B3B85" w:rsidRPr="006D4EB2" w:rsidRDefault="0032331C" w:rsidP="005306DA">
      <w:pPr>
        <w:pStyle w:val="berschrift1"/>
        <w:rPr>
          <w:lang w:val="it-IT"/>
        </w:rPr>
      </w:pPr>
      <w:r w:rsidRPr="006D4EB2">
        <w:rPr>
          <w:lang w:val="it-IT"/>
        </w:rPr>
        <w:t>DECISIONE DI RIMBORSO</w:t>
      </w:r>
    </w:p>
    <w:p w14:paraId="1B81BF73" w14:textId="77777777" w:rsidR="001B3B85" w:rsidRPr="006D4EB2" w:rsidRDefault="003D2FE6" w:rsidP="001B3B85">
      <w:pPr>
        <w:pStyle w:val="berschrift2"/>
        <w:rPr>
          <w:lang w:val="it-IT"/>
        </w:rPr>
      </w:pPr>
      <w:r w:rsidRPr="006D4EB2">
        <w:rPr>
          <w:lang w:val="it-IT"/>
        </w:rPr>
        <w:t xml:space="preserve">spese di urbanizzazione comprovate </w:t>
      </w:r>
      <w:r w:rsidRPr="006D4EB2">
        <w:rPr>
          <w:lang w:val="it-IT"/>
        </w:rPr>
        <w:br/>
        <w:t>secondo l'art. 19t LPTC</w:t>
      </w:r>
    </w:p>
    <w:p w14:paraId="5B9A71CC" w14:textId="77777777" w:rsidR="0049385D" w:rsidRPr="006D4EB2" w:rsidRDefault="0049385D" w:rsidP="0049385D">
      <w:pPr>
        <w:spacing w:line="312" w:lineRule="auto"/>
        <w:jc w:val="center"/>
        <w:rPr>
          <w:rFonts w:ascii="Arial" w:eastAsiaTheme="minorHAnsi" w:hAnsi="Arial" w:cs="Arial"/>
          <w:sz w:val="22"/>
          <w:szCs w:val="22"/>
          <w:lang w:val="it-IT" w:eastAsia="en-US"/>
        </w:rPr>
      </w:pPr>
    </w:p>
    <w:p w14:paraId="4F0C82D7" w14:textId="77777777" w:rsidR="0049385D" w:rsidRPr="006D4EB2" w:rsidRDefault="0049385D" w:rsidP="0049385D">
      <w:pPr>
        <w:spacing w:line="312" w:lineRule="auto"/>
        <w:jc w:val="center"/>
        <w:rPr>
          <w:rFonts w:ascii="Arial" w:eastAsiaTheme="minorHAnsi" w:hAnsi="Arial" w:cs="Arial"/>
          <w:sz w:val="22"/>
          <w:szCs w:val="22"/>
          <w:lang w:val="it-IT" w:eastAsia="en-US"/>
        </w:rPr>
      </w:pPr>
    </w:p>
    <w:p w14:paraId="2E0442E1" w14:textId="77777777" w:rsidR="00B46B0C" w:rsidRPr="006D4EB2" w:rsidRDefault="00B46B0C" w:rsidP="00B46B0C">
      <w:pPr>
        <w:spacing w:line="312" w:lineRule="auto"/>
        <w:jc w:val="center"/>
        <w:rPr>
          <w:rFonts w:ascii="Arial" w:eastAsiaTheme="minorHAnsi" w:hAnsi="Arial" w:cs="Arial"/>
          <w:sz w:val="22"/>
          <w:szCs w:val="22"/>
          <w:lang w:val="it-IT" w:eastAsia="en-US"/>
        </w:rPr>
      </w:pPr>
    </w:p>
    <w:p w14:paraId="7486843B" w14:textId="77777777" w:rsidR="00B46B0C" w:rsidRPr="006D4EB2" w:rsidRDefault="00337D87" w:rsidP="00337D87">
      <w:pPr>
        <w:pStyle w:val="berschrift4"/>
        <w:rPr>
          <w:lang w:val="it-IT"/>
        </w:rPr>
      </w:pPr>
      <w:r w:rsidRPr="006D4EB2">
        <w:rPr>
          <w:lang w:val="it-IT"/>
        </w:rPr>
        <w:t>Fattispecie</w:t>
      </w:r>
    </w:p>
    <w:p w14:paraId="678BCB1C" w14:textId="77777777" w:rsidR="00B46B0C" w:rsidRPr="006D4EB2" w:rsidRDefault="00B46B0C" w:rsidP="00A10704">
      <w:pPr>
        <w:pStyle w:val="Haupttext2"/>
        <w:rPr>
          <w:lang w:val="it-IT"/>
        </w:rPr>
      </w:pPr>
      <w:r w:rsidRPr="006D4EB2">
        <w:rPr>
          <w:lang w:val="it-IT"/>
        </w:rPr>
        <w:t>In data [</w:t>
      </w:r>
      <w:r w:rsidRPr="006D4EB2">
        <w:rPr>
          <w:highlight w:val="lightGray"/>
          <w:lang w:val="it-IT"/>
        </w:rPr>
        <w:t>…</w:t>
      </w:r>
      <w:r w:rsidRPr="006D4EB2">
        <w:rPr>
          <w:lang w:val="it-IT"/>
        </w:rPr>
        <w:t>], [</w:t>
      </w:r>
      <w:r w:rsidRPr="006D4EB2">
        <w:rPr>
          <w:highlight w:val="lightGray"/>
          <w:lang w:val="it-IT"/>
        </w:rPr>
        <w:t>…</w:t>
      </w:r>
      <w:r w:rsidRPr="006D4EB2">
        <w:rPr>
          <w:lang w:val="it-IT"/>
        </w:rPr>
        <w:t>] ha inoltrato una domanda per il rimborso di spese di urbanizzazione conformemente all'art. 19t cpv. 2 LPTC.</w:t>
      </w:r>
    </w:p>
    <w:p w14:paraId="78FBDECA" w14:textId="77777777" w:rsidR="006C7CD5" w:rsidRPr="006D4EB2" w:rsidRDefault="006C7CD5" w:rsidP="00347030">
      <w:pPr>
        <w:pStyle w:val="Haupttext2"/>
        <w:rPr>
          <w:lang w:val="it-IT"/>
        </w:rPr>
      </w:pPr>
      <w:r w:rsidRPr="006D4EB2">
        <w:rPr>
          <w:lang w:val="it-IT"/>
        </w:rPr>
        <w:t>Una bozza della presente decisione è stata inviata [</w:t>
      </w:r>
      <w:r w:rsidRPr="006D4EB2">
        <w:rPr>
          <w:highlight w:val="lightGray"/>
          <w:lang w:val="it-IT"/>
        </w:rPr>
        <w:t>al/alla proprietario/a del fondo oppure al/alla titolare del diritto di superficie</w:t>
      </w:r>
      <w:r w:rsidRPr="006D4EB2">
        <w:rPr>
          <w:lang w:val="it-IT"/>
        </w:rPr>
        <w:t>] il [</w:t>
      </w:r>
      <w:r w:rsidRPr="006D4EB2">
        <w:rPr>
          <w:highlight w:val="lightGray"/>
          <w:lang w:val="it-IT"/>
        </w:rPr>
        <w:t>…</w:t>
      </w:r>
      <w:r w:rsidRPr="006D4EB2">
        <w:rPr>
          <w:lang w:val="it-IT"/>
        </w:rPr>
        <w:t>]. Entro il termine stabilito [</w:t>
      </w:r>
      <w:r w:rsidRPr="006D4EB2">
        <w:rPr>
          <w:highlight w:val="lightGray"/>
          <w:lang w:val="it-IT"/>
        </w:rPr>
        <w:t>il signor.../la signora...</w:t>
      </w:r>
      <w:r w:rsidRPr="006D4EB2">
        <w:rPr>
          <w:lang w:val="it-IT"/>
        </w:rPr>
        <w:t>] ha presentato una presa di posizione nella quale ha spiegato in sostanza che [</w:t>
      </w:r>
      <w:r w:rsidRPr="006D4EB2">
        <w:rPr>
          <w:highlight w:val="lightGray"/>
          <w:lang w:val="it-IT"/>
        </w:rPr>
        <w:t>…</w:t>
      </w:r>
      <w:r w:rsidRPr="006D4EB2">
        <w:rPr>
          <w:lang w:val="it-IT"/>
        </w:rPr>
        <w:t>].</w:t>
      </w:r>
    </w:p>
    <w:p w14:paraId="719EE19E" w14:textId="77777777" w:rsidR="00DC0582" w:rsidRPr="006D4EB2" w:rsidRDefault="001B3B85" w:rsidP="001B3B85">
      <w:pPr>
        <w:pStyle w:val="berschrift4"/>
        <w:rPr>
          <w:lang w:val="it-IT"/>
        </w:rPr>
      </w:pPr>
      <w:r w:rsidRPr="006D4EB2">
        <w:rPr>
          <w:lang w:val="it-IT"/>
        </w:rPr>
        <w:t>Considerandi</w:t>
      </w:r>
    </w:p>
    <w:p w14:paraId="77425C83" w14:textId="77777777" w:rsidR="00A10704" w:rsidRPr="006D4EB2" w:rsidRDefault="00A10704" w:rsidP="00232167">
      <w:pPr>
        <w:pStyle w:val="Haupttext2"/>
        <w:numPr>
          <w:ilvl w:val="0"/>
          <w:numId w:val="34"/>
        </w:numPr>
        <w:rPr>
          <w:lang w:val="it-IT"/>
        </w:rPr>
      </w:pPr>
      <w:r w:rsidRPr="006D4EB2">
        <w:rPr>
          <w:lang w:val="it-IT"/>
        </w:rPr>
        <w:t xml:space="preserve">Secondo l'art. 19t cpv. 1 LPTC, nei confronti del comune gli interessati hanno diritto al rimborso di spese comprovate correlate alle urbanizzazioni di cui agli art. 60 segg. LPTC, per quanto l'urbanizzazione sia stata realizzata nell'arco dei 15 anni precedenti all'entrata in vigore della modifica legislativa il 1° aprile 2019. Tali diritti di rimborso sussistono tuttavia solamente se il </w:t>
      </w:r>
      <w:proofErr w:type="spellStart"/>
      <w:r w:rsidRPr="006D4EB2">
        <w:rPr>
          <w:lang w:val="it-IT"/>
        </w:rPr>
        <w:t>dezonamento</w:t>
      </w:r>
      <w:proofErr w:type="spellEnd"/>
      <w:r w:rsidRPr="006D4EB2">
        <w:rPr>
          <w:lang w:val="it-IT"/>
        </w:rPr>
        <w:t xml:space="preserve"> non rappresenta un'espropriazione materiale. Essi si prescrivono entro due anni dal passaggio in giudicato della pianificazione (art. 19t cpv. 3 LPTC). </w:t>
      </w:r>
    </w:p>
    <w:p w14:paraId="47E40001" w14:textId="77777777" w:rsidR="003D2FE6" w:rsidRPr="006D4EB2" w:rsidRDefault="00232167" w:rsidP="003D2FE6">
      <w:pPr>
        <w:pStyle w:val="Haupttext2"/>
        <w:numPr>
          <w:ilvl w:val="0"/>
          <w:numId w:val="34"/>
        </w:numPr>
        <w:rPr>
          <w:lang w:val="it-IT"/>
        </w:rPr>
      </w:pPr>
      <w:r w:rsidRPr="006D4EB2">
        <w:rPr>
          <w:lang w:val="it-IT"/>
        </w:rPr>
        <w:t>Con la pianificazione passata in giudicato in data [</w:t>
      </w:r>
      <w:r w:rsidRPr="006D4EB2">
        <w:rPr>
          <w:highlight w:val="lightGray"/>
          <w:lang w:val="it-IT"/>
        </w:rPr>
        <w:t>…</w:t>
      </w:r>
      <w:r w:rsidRPr="006D4EB2">
        <w:rPr>
          <w:lang w:val="it-IT"/>
        </w:rPr>
        <w:t>], il fondo n. [</w:t>
      </w:r>
      <w:r w:rsidRPr="006D4EB2">
        <w:rPr>
          <w:highlight w:val="lightGray"/>
          <w:lang w:val="it-IT"/>
        </w:rPr>
        <w:t>…</w:t>
      </w:r>
      <w:r w:rsidRPr="006D4EB2">
        <w:rPr>
          <w:lang w:val="it-IT"/>
        </w:rPr>
        <w:t>] ha cambiato destinazione passando da [</w:t>
      </w:r>
      <w:r w:rsidRPr="006D4EB2">
        <w:rPr>
          <w:highlight w:val="lightGray"/>
          <w:lang w:val="it-IT"/>
        </w:rPr>
        <w:t>…</w:t>
      </w:r>
      <w:r w:rsidRPr="006D4EB2">
        <w:rPr>
          <w:lang w:val="it-IT"/>
        </w:rPr>
        <w:t>] a una [</w:t>
      </w:r>
      <w:r w:rsidRPr="006D4EB2">
        <w:rPr>
          <w:highlight w:val="lightGray"/>
          <w:lang w:val="it-IT"/>
        </w:rPr>
        <w:t>…</w:t>
      </w:r>
      <w:r w:rsidRPr="006D4EB2">
        <w:rPr>
          <w:lang w:val="it-IT"/>
        </w:rPr>
        <w:t>] (</w:t>
      </w:r>
      <w:proofErr w:type="spellStart"/>
      <w:r w:rsidRPr="006D4EB2">
        <w:rPr>
          <w:lang w:val="it-IT"/>
        </w:rPr>
        <w:t>dezonamento</w:t>
      </w:r>
      <w:proofErr w:type="spellEnd"/>
      <w:r w:rsidRPr="006D4EB2">
        <w:rPr>
          <w:lang w:val="it-IT"/>
        </w:rPr>
        <w:t>).</w:t>
      </w:r>
    </w:p>
    <w:p w14:paraId="10E10E4B" w14:textId="77777777" w:rsidR="00654AB6" w:rsidRPr="006D4EB2" w:rsidRDefault="00956873" w:rsidP="00654AB6">
      <w:pPr>
        <w:pStyle w:val="Haupttext2"/>
        <w:numPr>
          <w:ilvl w:val="0"/>
          <w:numId w:val="0"/>
        </w:numPr>
        <w:ind w:left="360"/>
        <w:rPr>
          <w:lang w:val="it-IT"/>
        </w:rPr>
      </w:pPr>
      <w:r w:rsidRPr="006D4EB2">
        <w:rPr>
          <w:lang w:val="it-IT"/>
        </w:rPr>
        <w:lastRenderedPageBreak/>
        <w:t xml:space="preserve">Lo scopo principale di questo </w:t>
      </w:r>
      <w:proofErr w:type="spellStart"/>
      <w:r w:rsidRPr="006D4EB2">
        <w:rPr>
          <w:lang w:val="it-IT"/>
        </w:rPr>
        <w:t>dezonamento</w:t>
      </w:r>
      <w:proofErr w:type="spellEnd"/>
      <w:r w:rsidRPr="006D4EB2">
        <w:rPr>
          <w:lang w:val="it-IT"/>
        </w:rPr>
        <w:t xml:space="preserve"> consiste [</w:t>
      </w:r>
      <w:r w:rsidRPr="006D4EB2">
        <w:rPr>
          <w:highlight w:val="lightGray"/>
          <w:lang w:val="it-IT"/>
        </w:rPr>
        <w:t>nella riduzione di zone edificabili sovradimensionate]</w:t>
      </w:r>
      <w:r w:rsidRPr="006D4EB2">
        <w:rPr>
          <w:lang w:val="it-IT"/>
        </w:rPr>
        <w:t>.</w:t>
      </w:r>
    </w:p>
    <w:p w14:paraId="24EE0440" w14:textId="77777777" w:rsidR="00654AB6" w:rsidRPr="006D4EB2" w:rsidRDefault="00654AB6" w:rsidP="00654AB6">
      <w:pPr>
        <w:pStyle w:val="Haupttext2"/>
        <w:numPr>
          <w:ilvl w:val="0"/>
          <w:numId w:val="0"/>
        </w:numPr>
        <w:ind w:left="360"/>
        <w:rPr>
          <w:lang w:val="it-IT"/>
        </w:rPr>
      </w:pPr>
      <w:r w:rsidRPr="006D4EB2">
        <w:rPr>
          <w:lang w:val="it-IT"/>
        </w:rPr>
        <w:t>[</w:t>
      </w:r>
      <w:r w:rsidRPr="006D4EB2">
        <w:rPr>
          <w:highlight w:val="lightGray"/>
          <w:lang w:val="it-IT"/>
        </w:rPr>
        <w:t>Riguardo alle argomentazioni contenute nella presa di posizione occorre fare le precisazioni seguenti:]</w:t>
      </w:r>
    </w:p>
    <w:p w14:paraId="5A25DD25" w14:textId="77777777" w:rsidR="00907DB3" w:rsidRPr="006D4EB2" w:rsidRDefault="00907DB3" w:rsidP="00654AB6">
      <w:pPr>
        <w:pStyle w:val="Haupttext2"/>
        <w:numPr>
          <w:ilvl w:val="0"/>
          <w:numId w:val="34"/>
        </w:numPr>
        <w:rPr>
          <w:lang w:val="it-IT"/>
        </w:rPr>
      </w:pPr>
      <w:r w:rsidRPr="006D4EB2">
        <w:rPr>
          <w:lang w:val="it-IT"/>
        </w:rPr>
        <w:t>Dal passaggio in giudicato della pianificazione sono trascorsi [</w:t>
      </w:r>
      <w:r w:rsidRPr="006D4EB2">
        <w:rPr>
          <w:highlight w:val="lightGray"/>
          <w:lang w:val="it-IT"/>
        </w:rPr>
        <w:t>…anni/mesi</w:t>
      </w:r>
      <w:r w:rsidRPr="006D4EB2">
        <w:rPr>
          <w:lang w:val="it-IT"/>
        </w:rPr>
        <w:t xml:space="preserve">], ragione per cui un eventuale diritto di rimborso non è ancora prescritto. </w:t>
      </w:r>
    </w:p>
    <w:p w14:paraId="79A1C2BC" w14:textId="77777777" w:rsidR="00337D87" w:rsidRPr="006D4EB2" w:rsidRDefault="00337D87" w:rsidP="003D2FE6">
      <w:pPr>
        <w:pStyle w:val="Haupttext2"/>
        <w:numPr>
          <w:ilvl w:val="0"/>
          <w:numId w:val="0"/>
        </w:numPr>
        <w:ind w:left="360"/>
        <w:rPr>
          <w:lang w:val="it-IT"/>
        </w:rPr>
      </w:pPr>
      <w:r w:rsidRPr="006D4EB2">
        <w:rPr>
          <w:lang w:val="it-IT"/>
        </w:rPr>
        <w:t>[</w:t>
      </w:r>
      <w:r w:rsidRPr="006D4EB2">
        <w:rPr>
          <w:highlight w:val="lightGray"/>
          <w:lang w:val="it-IT"/>
        </w:rPr>
        <w:t>Riguardo alle argomentazioni contenute nella presa di posizione occorre fare le osservazioni seguenti:]</w:t>
      </w:r>
    </w:p>
    <w:p w14:paraId="4DB88E86" w14:textId="77777777" w:rsidR="0031509A" w:rsidRPr="006D4EB2" w:rsidRDefault="00F37196" w:rsidP="003D2FE6">
      <w:pPr>
        <w:pStyle w:val="Haupttext2"/>
        <w:numPr>
          <w:ilvl w:val="0"/>
          <w:numId w:val="34"/>
        </w:numPr>
        <w:rPr>
          <w:lang w:val="it-IT"/>
        </w:rPr>
      </w:pPr>
      <w:r w:rsidRPr="006D4EB2">
        <w:rPr>
          <w:lang w:val="it-IT"/>
        </w:rPr>
        <w:t xml:space="preserve">Il </w:t>
      </w:r>
      <w:proofErr w:type="spellStart"/>
      <w:r w:rsidRPr="006D4EB2">
        <w:rPr>
          <w:lang w:val="it-IT"/>
        </w:rPr>
        <w:t>dezonamento</w:t>
      </w:r>
      <w:proofErr w:type="spellEnd"/>
      <w:r w:rsidRPr="006D4EB2">
        <w:rPr>
          <w:lang w:val="it-IT"/>
        </w:rPr>
        <w:t xml:space="preserve"> non rappresenta un'espropriazione materiale.</w:t>
      </w:r>
    </w:p>
    <w:p w14:paraId="3C4077A2" w14:textId="77777777" w:rsidR="00337D87" w:rsidRPr="006D4EB2" w:rsidRDefault="00337D87" w:rsidP="00337D87">
      <w:pPr>
        <w:pStyle w:val="Haupttext2"/>
        <w:numPr>
          <w:ilvl w:val="0"/>
          <w:numId w:val="0"/>
        </w:numPr>
        <w:ind w:left="360"/>
        <w:rPr>
          <w:lang w:val="it-IT"/>
        </w:rPr>
      </w:pPr>
      <w:r w:rsidRPr="006D4EB2">
        <w:rPr>
          <w:lang w:val="it-IT"/>
        </w:rPr>
        <w:t>[</w:t>
      </w:r>
      <w:r w:rsidRPr="006D4EB2">
        <w:rPr>
          <w:highlight w:val="lightGray"/>
          <w:lang w:val="it-IT"/>
        </w:rPr>
        <w:t>Riguardo alle argomentazioni contenute nella presa di posizione occorre fare le osservazioni seguenti:]</w:t>
      </w:r>
    </w:p>
    <w:p w14:paraId="103A4A3C" w14:textId="77777777" w:rsidR="00907DB3" w:rsidRPr="006D4EB2" w:rsidRDefault="00907DB3" w:rsidP="00337D87">
      <w:pPr>
        <w:pStyle w:val="Haupttext2"/>
        <w:numPr>
          <w:ilvl w:val="0"/>
          <w:numId w:val="34"/>
        </w:numPr>
        <w:rPr>
          <w:lang w:val="it-IT"/>
        </w:rPr>
      </w:pPr>
      <w:r w:rsidRPr="006D4EB2">
        <w:rPr>
          <w:lang w:val="it-IT"/>
        </w:rPr>
        <w:t>Il richiedente fa valere spese sorte in relazione all'urbanizzazione di [</w:t>
      </w:r>
      <w:r w:rsidRPr="006D4EB2">
        <w:rPr>
          <w:highlight w:val="lightGray"/>
          <w:lang w:val="it-IT"/>
        </w:rPr>
        <w:t>designazione dell'impianto di urbanizzazione</w:t>
      </w:r>
      <w:r w:rsidRPr="006D4EB2">
        <w:rPr>
          <w:lang w:val="it-IT"/>
        </w:rPr>
        <w:t>] conformemente agli [</w:t>
      </w:r>
      <w:r w:rsidRPr="006D4EB2">
        <w:rPr>
          <w:highlight w:val="lightGray"/>
          <w:lang w:val="it-IT"/>
        </w:rPr>
        <w:t>art. 60 segg. LPTC</w:t>
      </w:r>
      <w:r w:rsidRPr="006D4EB2">
        <w:rPr>
          <w:lang w:val="it-IT"/>
        </w:rPr>
        <w:t xml:space="preserve">]. </w:t>
      </w:r>
    </w:p>
    <w:p w14:paraId="273EA51B" w14:textId="77777777" w:rsidR="00907DB3" w:rsidRPr="006D4EB2" w:rsidRDefault="00907DB3" w:rsidP="00232167">
      <w:pPr>
        <w:pStyle w:val="Haupttext2"/>
        <w:numPr>
          <w:ilvl w:val="0"/>
          <w:numId w:val="0"/>
        </w:numPr>
        <w:ind w:left="360"/>
        <w:rPr>
          <w:lang w:val="it-IT"/>
        </w:rPr>
      </w:pPr>
      <w:r w:rsidRPr="006D4EB2">
        <w:rPr>
          <w:lang w:val="it-IT"/>
        </w:rPr>
        <w:t>L'urbanizzazione è stata realizzata in data [</w:t>
      </w:r>
      <w:r w:rsidRPr="006D4EB2">
        <w:rPr>
          <w:highlight w:val="lightGray"/>
          <w:lang w:val="it-IT"/>
        </w:rPr>
        <w:t>…</w:t>
      </w:r>
      <w:r w:rsidRPr="006D4EB2">
        <w:rPr>
          <w:lang w:val="it-IT"/>
        </w:rPr>
        <w:t>] e dunque nell'arco dei 15 anni precedenti all'entrata in vigore della modifica di legge il 1° aprile 2019.</w:t>
      </w:r>
    </w:p>
    <w:p w14:paraId="2950D753" w14:textId="77777777" w:rsidR="00337D87" w:rsidRPr="006D4EB2" w:rsidRDefault="00337D87" w:rsidP="00232167">
      <w:pPr>
        <w:pStyle w:val="Haupttext2"/>
        <w:numPr>
          <w:ilvl w:val="0"/>
          <w:numId w:val="0"/>
        </w:numPr>
        <w:ind w:left="360"/>
        <w:rPr>
          <w:lang w:val="it-IT"/>
        </w:rPr>
      </w:pPr>
      <w:r w:rsidRPr="006D4EB2">
        <w:rPr>
          <w:lang w:val="it-IT"/>
        </w:rPr>
        <w:t>[</w:t>
      </w:r>
      <w:r w:rsidRPr="006D4EB2">
        <w:rPr>
          <w:highlight w:val="lightGray"/>
          <w:lang w:val="it-IT"/>
        </w:rPr>
        <w:t>Riguardo alle argomentazioni contenute nella presa di posizione occorre fare le osservazioni seguenti:]</w:t>
      </w:r>
    </w:p>
    <w:p w14:paraId="1D614ED1" w14:textId="77777777" w:rsidR="0031509A" w:rsidRPr="006D4EB2" w:rsidRDefault="0031509A" w:rsidP="00337D87">
      <w:pPr>
        <w:pStyle w:val="Haupttext2"/>
        <w:numPr>
          <w:ilvl w:val="0"/>
          <w:numId w:val="34"/>
        </w:numPr>
        <w:rPr>
          <w:lang w:val="it-IT"/>
        </w:rPr>
      </w:pPr>
      <w:r w:rsidRPr="006D4EB2">
        <w:rPr>
          <w:lang w:val="it-IT"/>
        </w:rPr>
        <w:t>Il richiedente [</w:t>
      </w:r>
      <w:r w:rsidRPr="006D4EB2">
        <w:rPr>
          <w:highlight w:val="lightGray"/>
          <w:lang w:val="it-IT"/>
        </w:rPr>
        <w:t>ha comprovato/non ha comprovato</w:t>
      </w:r>
      <w:r w:rsidRPr="006D4EB2">
        <w:rPr>
          <w:lang w:val="it-IT"/>
        </w:rPr>
        <w:t>] le spese di urbanizzazione inoltrando [</w:t>
      </w:r>
      <w:r w:rsidRPr="006D4EB2">
        <w:rPr>
          <w:highlight w:val="lightGray"/>
          <w:lang w:val="it-IT"/>
        </w:rPr>
        <w:t>ad es. conteggi di urbanizzazione del Comune secondo l'art. 25 cpv. 3 OPTC</w:t>
      </w:r>
      <w:r w:rsidRPr="006D4EB2">
        <w:rPr>
          <w:lang w:val="it-IT"/>
        </w:rPr>
        <w:t>].</w:t>
      </w:r>
    </w:p>
    <w:p w14:paraId="39195C3A" w14:textId="77777777" w:rsidR="003B4F45" w:rsidRPr="006D4EB2" w:rsidRDefault="00192044" w:rsidP="00337D87">
      <w:pPr>
        <w:pStyle w:val="Haupttext2"/>
        <w:numPr>
          <w:ilvl w:val="0"/>
          <w:numId w:val="0"/>
        </w:numPr>
        <w:ind w:left="360"/>
        <w:rPr>
          <w:lang w:val="it-IT"/>
        </w:rPr>
      </w:pPr>
      <w:r w:rsidRPr="006D4EB2">
        <w:rPr>
          <w:lang w:val="it-IT"/>
        </w:rPr>
        <w:t>[</w:t>
      </w:r>
      <w:r w:rsidRPr="006D4EB2">
        <w:rPr>
          <w:highlight w:val="lightGray"/>
          <w:lang w:val="it-IT"/>
        </w:rPr>
        <w:t>Riguardo alle argomentazioni contenute nella presa di posizione occorre fare le osservazioni seguenti:]</w:t>
      </w:r>
    </w:p>
    <w:p w14:paraId="1CF3EEAB" w14:textId="77777777" w:rsidR="00EB0300" w:rsidRPr="006D4EB2" w:rsidRDefault="00FE7CBA" w:rsidP="00347030">
      <w:pPr>
        <w:pStyle w:val="berschrift4"/>
        <w:rPr>
          <w:lang w:val="it-IT"/>
        </w:rPr>
      </w:pPr>
      <w:r w:rsidRPr="006D4EB2">
        <w:rPr>
          <w:lang w:val="it-IT"/>
        </w:rPr>
        <w:t>Decisione di rimborso</w:t>
      </w:r>
    </w:p>
    <w:p w14:paraId="5517E88B" w14:textId="77777777" w:rsidR="00347030" w:rsidRPr="006D4EB2" w:rsidRDefault="00324D22" w:rsidP="00347030">
      <w:pPr>
        <w:pStyle w:val="Haupttext2"/>
        <w:numPr>
          <w:ilvl w:val="0"/>
          <w:numId w:val="35"/>
        </w:numPr>
        <w:rPr>
          <w:lang w:val="it-IT"/>
        </w:rPr>
      </w:pPr>
      <w:r w:rsidRPr="006D4EB2">
        <w:rPr>
          <w:lang w:val="it-IT"/>
        </w:rPr>
        <w:t>[</w:t>
      </w:r>
      <w:r w:rsidRPr="006D4EB2">
        <w:rPr>
          <w:highlight w:val="lightGray"/>
          <w:lang w:val="it-IT"/>
        </w:rPr>
        <w:t>Al/la proprietario/a del fondo o al/la titolare del diritto di superficie</w:t>
      </w:r>
      <w:r w:rsidRPr="006D4EB2">
        <w:rPr>
          <w:lang w:val="it-IT"/>
        </w:rPr>
        <w:t>] del fondo n. [</w:t>
      </w:r>
      <w:r w:rsidRPr="006D4EB2">
        <w:rPr>
          <w:highlight w:val="lightGray"/>
          <w:lang w:val="it-IT"/>
        </w:rPr>
        <w:t>…</w:t>
      </w:r>
      <w:r w:rsidRPr="006D4EB2">
        <w:rPr>
          <w:lang w:val="it-IT"/>
        </w:rPr>
        <w:t>] si rimborsano le spese di urbanizzazione comprovate sorte in relazione alla realizzazione di [</w:t>
      </w:r>
      <w:r w:rsidRPr="006D4EB2">
        <w:rPr>
          <w:highlight w:val="lightGray"/>
          <w:lang w:val="it-IT"/>
        </w:rPr>
        <w:t>impianto di urbanizzazione</w:t>
      </w:r>
      <w:r w:rsidRPr="006D4EB2">
        <w:rPr>
          <w:lang w:val="it-IT"/>
        </w:rPr>
        <w:t xml:space="preserve">] come conseguenza del </w:t>
      </w:r>
      <w:proofErr w:type="spellStart"/>
      <w:r w:rsidRPr="006D4EB2">
        <w:rPr>
          <w:lang w:val="it-IT"/>
        </w:rPr>
        <w:t>dezonamento</w:t>
      </w:r>
      <w:proofErr w:type="spellEnd"/>
      <w:r w:rsidRPr="006D4EB2">
        <w:rPr>
          <w:lang w:val="it-IT"/>
        </w:rPr>
        <w:t xml:space="preserve"> conformemente alla decisione del [data </w:t>
      </w:r>
      <w:r w:rsidRPr="006D4EB2">
        <w:rPr>
          <w:highlight w:val="lightGray"/>
          <w:lang w:val="it-IT"/>
        </w:rPr>
        <w:t>decisione del Comune e data decreto di approvazione del Governo</w:t>
      </w:r>
      <w:r w:rsidRPr="006D4EB2">
        <w:rPr>
          <w:lang w:val="it-IT"/>
        </w:rPr>
        <w:t>] per un ammontare pari a CHF [</w:t>
      </w:r>
      <w:r w:rsidRPr="006D4EB2">
        <w:rPr>
          <w:highlight w:val="lightGray"/>
          <w:lang w:val="it-IT"/>
        </w:rPr>
        <w:t>…</w:t>
      </w:r>
      <w:r w:rsidRPr="006D4EB2">
        <w:rPr>
          <w:lang w:val="it-IT"/>
        </w:rPr>
        <w:t>].</w:t>
      </w:r>
    </w:p>
    <w:p w14:paraId="1140EED8" w14:textId="322B3741" w:rsidR="00546C62" w:rsidRPr="006D4EB2" w:rsidRDefault="00324D22" w:rsidP="00546C62">
      <w:pPr>
        <w:pStyle w:val="Haupttext2"/>
        <w:numPr>
          <w:ilvl w:val="0"/>
          <w:numId w:val="35"/>
        </w:numPr>
        <w:rPr>
          <w:lang w:val="it-IT"/>
        </w:rPr>
      </w:pPr>
      <w:r w:rsidRPr="006D4EB2">
        <w:rPr>
          <w:lang w:val="it-IT"/>
        </w:rPr>
        <w:t xml:space="preserve">Contro la presente decisione è data facoltà di ricorso al Tribunale </w:t>
      </w:r>
      <w:r w:rsidR="00D447A8">
        <w:rPr>
          <w:lang w:val="it-IT"/>
        </w:rPr>
        <w:t>d'appello</w:t>
      </w:r>
      <w:bookmarkStart w:id="0" w:name="_GoBack"/>
      <w:bookmarkEnd w:id="0"/>
      <w:r w:rsidRPr="006D4EB2">
        <w:rPr>
          <w:lang w:val="it-IT"/>
        </w:rPr>
        <w:t xml:space="preserve"> del Cantone dei Grigioni, entro 30 giorni dalla comunicazione.</w:t>
      </w:r>
    </w:p>
    <w:p w14:paraId="03179FDA" w14:textId="77777777" w:rsidR="00324D22" w:rsidRPr="006D4EB2" w:rsidRDefault="00DF42B4" w:rsidP="00546C62">
      <w:pPr>
        <w:pStyle w:val="Haupttext2"/>
        <w:numPr>
          <w:ilvl w:val="0"/>
          <w:numId w:val="35"/>
        </w:numPr>
        <w:rPr>
          <w:lang w:val="it-IT"/>
        </w:rPr>
      </w:pPr>
      <w:r w:rsidRPr="006D4EB2">
        <w:rPr>
          <w:lang w:val="it-IT"/>
        </w:rPr>
        <w:t>Comunicazione a:</w:t>
      </w:r>
    </w:p>
    <w:p w14:paraId="3C5C1755" w14:textId="77777777" w:rsidR="00DF42B4" w:rsidRPr="006D4EB2" w:rsidRDefault="00546C62" w:rsidP="00DF42B4">
      <w:pPr>
        <w:pStyle w:val="Listenabsatz"/>
        <w:numPr>
          <w:ilvl w:val="0"/>
          <w:numId w:val="29"/>
        </w:numPr>
        <w:spacing w:line="312" w:lineRule="auto"/>
        <w:rPr>
          <w:rFonts w:ascii="Arial" w:hAnsi="Arial" w:cs="Arial"/>
          <w:lang w:val="it-IT"/>
        </w:rPr>
      </w:pPr>
      <w:r w:rsidRPr="006D4EB2">
        <w:rPr>
          <w:rFonts w:ascii="Arial" w:hAnsi="Arial"/>
          <w:lang w:val="it-IT"/>
        </w:rPr>
        <w:t>[</w:t>
      </w:r>
      <w:r w:rsidRPr="006D4EB2">
        <w:rPr>
          <w:rFonts w:ascii="Arial" w:hAnsi="Arial"/>
          <w:highlight w:val="lightGray"/>
          <w:lang w:val="it-IT"/>
        </w:rPr>
        <w:t>Proprietario/a del fondo</w:t>
      </w:r>
      <w:r w:rsidRPr="006D4EB2">
        <w:rPr>
          <w:rFonts w:ascii="Arial" w:hAnsi="Arial"/>
          <w:lang w:val="it-IT"/>
        </w:rPr>
        <w:t>]</w:t>
      </w:r>
    </w:p>
    <w:p w14:paraId="4865FB03" w14:textId="77777777" w:rsidR="00DF42B4" w:rsidRPr="006D4EB2" w:rsidRDefault="00DF42B4" w:rsidP="00B46B0C">
      <w:pPr>
        <w:spacing w:line="312" w:lineRule="auto"/>
        <w:jc w:val="center"/>
        <w:rPr>
          <w:rFonts w:ascii="Arial" w:eastAsiaTheme="minorHAnsi" w:hAnsi="Arial" w:cs="Arial"/>
          <w:sz w:val="22"/>
          <w:szCs w:val="22"/>
          <w:lang w:val="it-IT" w:eastAsia="en-US"/>
        </w:rPr>
      </w:pPr>
    </w:p>
    <w:p w14:paraId="0B5B8047" w14:textId="77777777" w:rsidR="00DF42B4" w:rsidRPr="006D4EB2" w:rsidRDefault="00DF42B4" w:rsidP="00B46B0C">
      <w:pPr>
        <w:spacing w:line="312" w:lineRule="auto"/>
        <w:jc w:val="center"/>
        <w:rPr>
          <w:rFonts w:ascii="Arial" w:eastAsiaTheme="minorHAnsi" w:hAnsi="Arial" w:cs="Arial"/>
          <w:sz w:val="22"/>
          <w:szCs w:val="22"/>
          <w:lang w:val="it-IT" w:eastAsia="en-US"/>
        </w:rPr>
      </w:pPr>
    </w:p>
    <w:p w14:paraId="5054E3A2" w14:textId="77777777" w:rsidR="00DF42B4" w:rsidRPr="006D4EB2" w:rsidRDefault="00DF42B4" w:rsidP="00B46B0C">
      <w:pPr>
        <w:spacing w:line="312" w:lineRule="auto"/>
        <w:jc w:val="center"/>
        <w:rPr>
          <w:rFonts w:ascii="Arial" w:eastAsiaTheme="minorHAnsi" w:hAnsi="Arial" w:cs="Arial"/>
          <w:sz w:val="22"/>
          <w:szCs w:val="22"/>
          <w:lang w:val="it-IT" w:eastAsia="en-US"/>
        </w:rPr>
      </w:pPr>
    </w:p>
    <w:p w14:paraId="63AD8E66" w14:textId="77777777" w:rsidR="00B46B0C" w:rsidRPr="006D4EB2" w:rsidRDefault="00B46B0C" w:rsidP="00546C62">
      <w:pPr>
        <w:spacing w:line="312" w:lineRule="auto"/>
        <w:rPr>
          <w:rFonts w:ascii="Arial" w:eastAsiaTheme="minorHAnsi" w:hAnsi="Arial" w:cs="Arial"/>
          <w:sz w:val="22"/>
          <w:szCs w:val="22"/>
          <w:lang w:val="it-IT"/>
        </w:rPr>
      </w:pPr>
      <w:r w:rsidRPr="006D4EB2">
        <w:rPr>
          <w:rFonts w:ascii="Arial" w:hAnsi="Arial"/>
          <w:sz w:val="22"/>
          <w:lang w:val="it-IT"/>
        </w:rPr>
        <w:t>Per il Comune</w:t>
      </w:r>
    </w:p>
    <w:p w14:paraId="143CC303" w14:textId="77777777" w:rsidR="00B46B0C" w:rsidRPr="006D4EB2" w:rsidRDefault="00B46B0C" w:rsidP="00B46B0C">
      <w:pPr>
        <w:spacing w:line="312" w:lineRule="auto"/>
        <w:jc w:val="center"/>
        <w:rPr>
          <w:rFonts w:ascii="Arial" w:eastAsiaTheme="minorHAnsi" w:hAnsi="Arial" w:cs="Arial"/>
          <w:sz w:val="22"/>
          <w:szCs w:val="22"/>
          <w:lang w:val="it-IT" w:eastAsia="en-US"/>
        </w:rPr>
      </w:pPr>
    </w:p>
    <w:p w14:paraId="7A120967" w14:textId="77777777" w:rsidR="00DF42B4" w:rsidRPr="006D4EB2" w:rsidRDefault="00DF42B4" w:rsidP="00DF42B4">
      <w:pPr>
        <w:rPr>
          <w:rFonts w:ascii="Arial" w:hAnsi="Arial" w:cs="Arial"/>
          <w:sz w:val="22"/>
          <w:szCs w:val="22"/>
          <w:lang w:val="it-IT"/>
        </w:rPr>
      </w:pPr>
    </w:p>
    <w:p w14:paraId="20FFA0EB" w14:textId="77777777" w:rsidR="00DF42B4" w:rsidRPr="006D4EB2" w:rsidRDefault="00DF42B4" w:rsidP="00DF42B4">
      <w:pPr>
        <w:rPr>
          <w:rFonts w:ascii="Arial" w:hAnsi="Arial" w:cs="Arial"/>
          <w:sz w:val="22"/>
          <w:szCs w:val="22"/>
          <w:lang w:val="it-IT"/>
        </w:rPr>
      </w:pPr>
    </w:p>
    <w:p w14:paraId="09CD0B73" w14:textId="77777777" w:rsidR="00DF42B4" w:rsidRPr="006D4EB2" w:rsidRDefault="00DF42B4" w:rsidP="00DF42B4">
      <w:pPr>
        <w:rPr>
          <w:rFonts w:ascii="Arial" w:hAnsi="Arial" w:cs="Arial"/>
          <w:sz w:val="22"/>
          <w:szCs w:val="22"/>
          <w:lang w:val="it-IT"/>
        </w:rPr>
      </w:pPr>
    </w:p>
    <w:p w14:paraId="1A3CF779" w14:textId="77777777" w:rsidR="00DF42B4" w:rsidRPr="006D4EB2" w:rsidRDefault="00DF42B4" w:rsidP="00DF42B4">
      <w:pPr>
        <w:rPr>
          <w:rFonts w:ascii="Arial" w:hAnsi="Arial" w:cs="Arial"/>
          <w:sz w:val="22"/>
          <w:szCs w:val="22"/>
          <w:lang w:val="it-IT"/>
        </w:rPr>
      </w:pPr>
      <w:r w:rsidRPr="006D4EB2">
        <w:rPr>
          <w:rFonts w:ascii="Arial" w:hAnsi="Arial"/>
          <w:sz w:val="22"/>
          <w:lang w:val="it-IT"/>
        </w:rPr>
        <w:t>__________________________</w:t>
      </w:r>
      <w:r w:rsidRPr="006D4EB2">
        <w:rPr>
          <w:rFonts w:ascii="Arial" w:hAnsi="Arial"/>
          <w:sz w:val="22"/>
          <w:lang w:val="it-IT"/>
        </w:rPr>
        <w:tab/>
      </w:r>
      <w:r w:rsidRPr="006D4EB2">
        <w:rPr>
          <w:rFonts w:ascii="Arial" w:hAnsi="Arial"/>
          <w:sz w:val="22"/>
          <w:lang w:val="it-IT"/>
        </w:rPr>
        <w:tab/>
      </w:r>
      <w:r w:rsidRPr="006D4EB2">
        <w:rPr>
          <w:rFonts w:ascii="Arial" w:hAnsi="Arial"/>
          <w:sz w:val="22"/>
          <w:lang w:val="it-IT"/>
        </w:rPr>
        <w:tab/>
        <w:t>__________________________</w:t>
      </w:r>
    </w:p>
    <w:p w14:paraId="2FEE9561" w14:textId="77777777" w:rsidR="00DF42B4" w:rsidRPr="006D4EB2" w:rsidRDefault="00DF42B4" w:rsidP="00DF42B4">
      <w:pPr>
        <w:rPr>
          <w:rFonts w:ascii="Arial" w:hAnsi="Arial" w:cs="Arial"/>
          <w:sz w:val="22"/>
          <w:szCs w:val="22"/>
          <w:lang w:val="it-IT"/>
        </w:rPr>
      </w:pPr>
    </w:p>
    <w:p w14:paraId="6EE57B75" w14:textId="77777777" w:rsidR="00DF42B4" w:rsidRPr="006D4EB2" w:rsidRDefault="00DF42B4" w:rsidP="00DF42B4">
      <w:pPr>
        <w:rPr>
          <w:rFonts w:ascii="Arial" w:hAnsi="Arial" w:cs="Arial"/>
          <w:sz w:val="22"/>
          <w:szCs w:val="22"/>
          <w:lang w:val="it-IT"/>
        </w:rPr>
      </w:pPr>
      <w:r w:rsidRPr="006D4EB2">
        <w:rPr>
          <w:rFonts w:ascii="Arial" w:hAnsi="Arial"/>
          <w:sz w:val="22"/>
          <w:lang w:val="it-IT"/>
        </w:rPr>
        <w:t>[</w:t>
      </w:r>
      <w:r w:rsidRPr="006D4EB2">
        <w:rPr>
          <w:rFonts w:ascii="Arial" w:hAnsi="Arial"/>
          <w:sz w:val="22"/>
          <w:highlight w:val="lightGray"/>
          <w:lang w:val="it-IT"/>
        </w:rPr>
        <w:t>Il sindaco/La sindaca</w:t>
      </w:r>
      <w:r w:rsidRPr="006D4EB2">
        <w:rPr>
          <w:rFonts w:ascii="Arial" w:hAnsi="Arial"/>
          <w:sz w:val="22"/>
          <w:lang w:val="it-IT"/>
        </w:rPr>
        <w:t>]</w:t>
      </w:r>
      <w:r w:rsidRPr="006D4EB2">
        <w:rPr>
          <w:rFonts w:ascii="Arial" w:hAnsi="Arial"/>
          <w:sz w:val="22"/>
          <w:lang w:val="it-IT"/>
        </w:rPr>
        <w:tab/>
      </w:r>
      <w:r w:rsidRPr="006D4EB2">
        <w:rPr>
          <w:rFonts w:ascii="Arial" w:hAnsi="Arial"/>
          <w:sz w:val="22"/>
          <w:lang w:val="it-IT"/>
        </w:rPr>
        <w:tab/>
      </w:r>
      <w:r w:rsidRPr="006D4EB2">
        <w:rPr>
          <w:rFonts w:ascii="Arial" w:hAnsi="Arial"/>
          <w:sz w:val="22"/>
          <w:lang w:val="it-IT"/>
        </w:rPr>
        <w:tab/>
        <w:t>[</w:t>
      </w:r>
      <w:r w:rsidRPr="006D4EB2">
        <w:rPr>
          <w:rFonts w:ascii="Arial" w:hAnsi="Arial"/>
          <w:sz w:val="22"/>
          <w:highlight w:val="lightGray"/>
          <w:lang w:val="it-IT"/>
        </w:rPr>
        <w:t>Il segretario comunale/La segretaria comunale</w:t>
      </w:r>
      <w:r w:rsidRPr="006D4EB2">
        <w:rPr>
          <w:rFonts w:ascii="Arial" w:hAnsi="Arial"/>
          <w:sz w:val="22"/>
          <w:lang w:val="it-IT"/>
        </w:rPr>
        <w:t>]</w:t>
      </w:r>
    </w:p>
    <w:p w14:paraId="74BE33CF" w14:textId="77777777" w:rsidR="00B46B0C" w:rsidRPr="006D4EB2" w:rsidRDefault="00B46B0C" w:rsidP="00B46B0C">
      <w:pPr>
        <w:spacing w:line="312" w:lineRule="auto"/>
        <w:jc w:val="center"/>
        <w:rPr>
          <w:rFonts w:ascii="Arial" w:eastAsiaTheme="minorHAnsi" w:hAnsi="Arial" w:cs="Arial"/>
          <w:sz w:val="22"/>
          <w:szCs w:val="22"/>
          <w:lang w:val="it-IT" w:eastAsia="en-US"/>
        </w:rPr>
      </w:pPr>
    </w:p>
    <w:p w14:paraId="3FD6733A" w14:textId="77777777" w:rsidR="00B46B0C" w:rsidRPr="006D4EB2" w:rsidRDefault="00B46B0C" w:rsidP="00B46B0C">
      <w:pPr>
        <w:spacing w:line="312" w:lineRule="auto"/>
        <w:jc w:val="center"/>
        <w:rPr>
          <w:rFonts w:ascii="Arial" w:eastAsiaTheme="minorHAnsi" w:hAnsi="Arial" w:cs="Arial"/>
          <w:sz w:val="22"/>
          <w:szCs w:val="22"/>
          <w:lang w:val="it-IT" w:eastAsia="en-US"/>
        </w:rPr>
      </w:pPr>
    </w:p>
    <w:p w14:paraId="210F489F" w14:textId="77777777" w:rsidR="00B46B0C" w:rsidRPr="006D4EB2" w:rsidRDefault="00DF42B4" w:rsidP="00DF42B4">
      <w:pPr>
        <w:spacing w:line="312" w:lineRule="auto"/>
        <w:rPr>
          <w:rFonts w:ascii="Arial" w:eastAsiaTheme="minorHAnsi" w:hAnsi="Arial" w:cs="Arial"/>
          <w:sz w:val="22"/>
          <w:szCs w:val="22"/>
          <w:lang w:val="it-IT"/>
        </w:rPr>
      </w:pPr>
      <w:r w:rsidRPr="006D4EB2">
        <w:rPr>
          <w:rFonts w:ascii="Arial" w:hAnsi="Arial"/>
          <w:sz w:val="22"/>
          <w:lang w:val="it-IT"/>
        </w:rPr>
        <w:t>Comunicazione in data:</w:t>
      </w:r>
    </w:p>
    <w:p w14:paraId="6261B95A" w14:textId="77777777" w:rsidR="00DF42B4" w:rsidRPr="006D4EB2" w:rsidRDefault="00DF42B4" w:rsidP="00DF42B4">
      <w:pPr>
        <w:spacing w:line="312" w:lineRule="auto"/>
        <w:rPr>
          <w:rFonts w:ascii="Arial" w:eastAsiaTheme="minorHAnsi" w:hAnsi="Arial" w:cs="Arial"/>
          <w:sz w:val="22"/>
          <w:szCs w:val="22"/>
          <w:lang w:val="it-IT" w:eastAsia="en-US"/>
        </w:rPr>
      </w:pPr>
    </w:p>
    <w:p w14:paraId="5A10975F" w14:textId="77777777" w:rsidR="0049385D" w:rsidRPr="006D4EB2" w:rsidRDefault="0049385D" w:rsidP="0049385D">
      <w:pPr>
        <w:tabs>
          <w:tab w:val="left" w:pos="284"/>
        </w:tabs>
        <w:spacing w:line="312" w:lineRule="auto"/>
        <w:ind w:left="284" w:hanging="284"/>
        <w:jc w:val="both"/>
        <w:rPr>
          <w:rFonts w:ascii="Arial" w:eastAsiaTheme="minorHAnsi" w:hAnsi="Arial" w:cs="Arial"/>
          <w:sz w:val="22"/>
          <w:szCs w:val="22"/>
          <w:lang w:val="it-IT" w:eastAsia="en-US"/>
        </w:rPr>
      </w:pPr>
    </w:p>
    <w:p w14:paraId="498C0402" w14:textId="77777777" w:rsidR="0049385D" w:rsidRPr="006D4EB2" w:rsidRDefault="0049385D" w:rsidP="0049385D">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lang w:val="it-IT"/>
        </w:rPr>
      </w:pPr>
      <w:r w:rsidRPr="006D4EB2">
        <w:rPr>
          <w:rFonts w:ascii="Arial" w:hAnsi="Arial"/>
          <w:sz w:val="22"/>
          <w:u w:val="single"/>
          <w:lang w:val="it-IT"/>
        </w:rPr>
        <w:t>Indicazione d'uso:</w:t>
      </w:r>
      <w:r w:rsidRPr="006D4EB2">
        <w:rPr>
          <w:rFonts w:ascii="Arial" w:hAnsi="Arial"/>
          <w:sz w:val="22"/>
          <w:lang w:val="it-IT"/>
        </w:rPr>
        <w:t xml:space="preserve"> questo modello di decisione rappresenta uno strumento ausiliario del Cantone. Una decisione deve essere redatta in base al singolo caso concreto. Questo modello non sostituisce una consulenza legale. Le formulazioni contenute in questo modello hanno mero carattere di proposta. I passaggi di testo che devono essere integrati o precisati in ogni caso da parte del Comune vengono resi individuabili con i segnaposto messi tra parentesi quadre […] e si trovano su sfondo grigio.</w:t>
      </w:r>
    </w:p>
    <w:p w14:paraId="1B829B2B" w14:textId="77777777" w:rsidR="00546C62" w:rsidRPr="006D4EB2" w:rsidRDefault="006C7CD5" w:rsidP="00EB0300">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lang w:val="it-IT"/>
        </w:rPr>
      </w:pPr>
      <w:r w:rsidRPr="006D4EB2">
        <w:rPr>
          <w:rFonts w:ascii="Arial" w:hAnsi="Arial"/>
          <w:sz w:val="22"/>
          <w:lang w:val="it-IT"/>
        </w:rPr>
        <w:t>Per garantire il diritto di essere sentiti, in ogni singolo caso occorre prendere posizione concretamente riguardo alle obiezioni e alle spiegazioni formulate dai proprietari fondiari o dai titolari del diritto di superficie interessati.</w:t>
      </w:r>
    </w:p>
    <w:sectPr w:rsidR="00546C62" w:rsidRPr="006D4EB2" w:rsidSect="006F6B93">
      <w:headerReference w:type="default" r:id="rId10"/>
      <w:headerReference w:type="first" r:id="rId11"/>
      <w:pgSz w:w="11906" w:h="16838" w:code="9"/>
      <w:pgMar w:top="1701" w:right="1701" w:bottom="1701" w:left="1701" w:header="851"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0EA41" w14:textId="77777777" w:rsidR="00082422" w:rsidRDefault="00082422">
      <w:r>
        <w:separator/>
      </w:r>
    </w:p>
  </w:endnote>
  <w:endnote w:type="continuationSeparator" w:id="0">
    <w:p w14:paraId="4D442942" w14:textId="77777777" w:rsidR="00082422" w:rsidRDefault="0008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inion Web">
    <w:altName w:val="Cambria"/>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77D4F" w14:textId="77777777" w:rsidR="00082422" w:rsidRDefault="00082422">
      <w:r>
        <w:separator/>
      </w:r>
    </w:p>
  </w:footnote>
  <w:footnote w:type="continuationSeparator" w:id="0">
    <w:p w14:paraId="34610A21" w14:textId="77777777" w:rsidR="00082422" w:rsidRDefault="0008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E4C57" w14:textId="13501C2A" w:rsidR="00CF10B3" w:rsidRPr="00572DEF" w:rsidRDefault="00CF10B3" w:rsidP="00CF10B3">
    <w:pPr>
      <w:tabs>
        <w:tab w:val="center" w:pos="4820"/>
      </w:tabs>
      <w:jc w:val="center"/>
      <w:rPr>
        <w:sz w:val="16"/>
        <w:szCs w:val="16"/>
      </w:rPr>
    </w:pPr>
    <w:r w:rsidRPr="00572DEF">
      <w:rPr>
        <w:sz w:val="16"/>
      </w:rPr>
      <w:fldChar w:fldCharType="begin"/>
    </w:r>
    <w:r w:rsidRPr="00572DEF">
      <w:rPr>
        <w:sz w:val="16"/>
      </w:rPr>
      <w:instrText xml:space="preserve"> PAGE </w:instrText>
    </w:r>
    <w:r w:rsidRPr="00572DEF">
      <w:rPr>
        <w:sz w:val="16"/>
      </w:rPr>
      <w:fldChar w:fldCharType="separate"/>
    </w:r>
    <w:r w:rsidR="00D447A8">
      <w:rPr>
        <w:noProof/>
        <w:sz w:val="16"/>
      </w:rPr>
      <w:t>3</w:t>
    </w:r>
    <w:r w:rsidRPr="00572DEF">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5FA92" w14:textId="77777777" w:rsidR="00956873" w:rsidRPr="00F004E8" w:rsidRDefault="00956873" w:rsidP="00956873">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Calibri" w:hAnsi="Arial" w:cs="Arial"/>
        <w:b/>
        <w:szCs w:val="16"/>
      </w:rPr>
    </w:pPr>
    <w:r>
      <w:rPr>
        <w:rFonts w:ascii="Arial" w:hAnsi="Arial"/>
        <w:b/>
      </w:rPr>
      <w:t>Guida d'applicazione E5</w:t>
    </w:r>
  </w:p>
  <w:p w14:paraId="1F7A6A43" w14:textId="3BE9056E" w:rsidR="00956873" w:rsidRPr="00F004E8" w:rsidRDefault="00956873" w:rsidP="00956873">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Calibri" w:hAnsi="Arial" w:cs="Arial"/>
        <w:b/>
        <w:sz w:val="16"/>
        <w:szCs w:val="16"/>
      </w:rPr>
    </w:pPr>
    <w:r>
      <w:rPr>
        <w:rFonts w:ascii="Arial" w:hAnsi="Arial"/>
        <w:sz w:val="16"/>
      </w:rPr>
      <w:t xml:space="preserve">Ufficio per lo sviluppo del territorio dei Grigioni, versione stato </w:t>
    </w:r>
    <w:r w:rsidR="00D447A8">
      <w:rPr>
        <w:rFonts w:ascii="Arial" w:hAnsi="Arial"/>
        <w:sz w:val="16"/>
      </w:rPr>
      <w:t>20</w:t>
    </w:r>
    <w:r>
      <w:rPr>
        <w:rFonts w:ascii="Arial" w:hAnsi="Arial"/>
        <w:sz w:val="16"/>
      </w:rPr>
      <w:t>.</w:t>
    </w:r>
    <w:r w:rsidR="00D447A8">
      <w:rPr>
        <w:rFonts w:ascii="Arial" w:hAnsi="Arial"/>
        <w:sz w:val="16"/>
      </w:rPr>
      <w:t>12</w:t>
    </w:r>
    <w:r>
      <w:rPr>
        <w:rFonts w:ascii="Arial" w:hAnsi="Arial"/>
        <w:sz w:val="16"/>
      </w:rPr>
      <w:t>.202</w:t>
    </w:r>
    <w:r w:rsidR="00D447A8">
      <w:rPr>
        <w:rFonts w:ascii="Arial" w:hAnsi="Arial"/>
        <w:sz w:val="16"/>
      </w:rPr>
      <w:t>4</w:t>
    </w:r>
  </w:p>
  <w:p w14:paraId="364B6129" w14:textId="77777777" w:rsidR="0049385D" w:rsidRDefault="004938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217"/>
    <w:multiLevelType w:val="multilevel"/>
    <w:tmpl w:val="694026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C309E"/>
    <w:multiLevelType w:val="multilevel"/>
    <w:tmpl w:val="AFBEA9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9322E8"/>
    <w:multiLevelType w:val="hybridMultilevel"/>
    <w:tmpl w:val="BECE596C"/>
    <w:lvl w:ilvl="0" w:tplc="08070017">
      <w:start w:val="1"/>
      <w:numFmt w:val="lowerLetter"/>
      <w:pStyle w:val="berschrift3"/>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7F433F3"/>
    <w:multiLevelType w:val="multilevel"/>
    <w:tmpl w:val="9F227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BAE79A4"/>
    <w:multiLevelType w:val="hybridMultilevel"/>
    <w:tmpl w:val="A7225B7C"/>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3FB4EEF"/>
    <w:multiLevelType w:val="hybridMultilevel"/>
    <w:tmpl w:val="8792549A"/>
    <w:lvl w:ilvl="0" w:tplc="FFB43272">
      <w:start w:val="1"/>
      <w:numFmt w:val="upperRoman"/>
      <w:lvlText w:val="%1."/>
      <w:lvlJc w:val="left"/>
      <w:pPr>
        <w:ind w:left="720" w:hanging="72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2" w15:restartNumberingAfterBreak="0">
    <w:nsid w:val="3C9C5BBE"/>
    <w:multiLevelType w:val="multilevel"/>
    <w:tmpl w:val="8F30C38A"/>
    <w:lvl w:ilvl="0">
      <w:start w:val="2"/>
      <w:numFmt w:val="decimal"/>
      <w:lvlText w:val="%1."/>
      <w:lvlJc w:val="left"/>
      <w:pPr>
        <w:ind w:left="360" w:hanging="360"/>
      </w:pPr>
      <w:rPr>
        <w:rFonts w:eastAsiaTheme="minorHAnsi" w:hint="default"/>
        <w:sz w:val="22"/>
      </w:rPr>
    </w:lvl>
    <w:lvl w:ilvl="1">
      <w:start w:val="1"/>
      <w:numFmt w:val="decimal"/>
      <w:lvlText w:val="%1.%2."/>
      <w:lvlJc w:val="left"/>
      <w:pPr>
        <w:ind w:left="720" w:hanging="72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2160" w:hanging="2160"/>
      </w:pPr>
      <w:rPr>
        <w:rFonts w:eastAsiaTheme="minorHAnsi" w:hint="default"/>
        <w:sz w:val="22"/>
      </w:rPr>
    </w:lvl>
  </w:abstractNum>
  <w:abstractNum w:abstractNumId="13" w15:restartNumberingAfterBreak="0">
    <w:nsid w:val="3E5A461E"/>
    <w:multiLevelType w:val="multilevel"/>
    <w:tmpl w:val="7EDAF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5" w15:restartNumberingAfterBreak="0">
    <w:nsid w:val="44315156"/>
    <w:multiLevelType w:val="hybridMultilevel"/>
    <w:tmpl w:val="87F2C6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84009BC"/>
    <w:multiLevelType w:val="hybridMultilevel"/>
    <w:tmpl w:val="F70AFB86"/>
    <w:lvl w:ilvl="0" w:tplc="FB52182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D0B54FE"/>
    <w:multiLevelType w:val="multilevel"/>
    <w:tmpl w:val="A438A8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5B6399"/>
    <w:multiLevelType w:val="multilevel"/>
    <w:tmpl w:val="830CFDC4"/>
    <w:lvl w:ilvl="0">
      <w:start w:val="1"/>
      <w:numFmt w:val="decimal"/>
      <w:pStyle w:val="Haupttext2"/>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BEB1D4D"/>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1"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3"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1C857BB"/>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5"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1"/>
  </w:num>
  <w:num w:numId="5">
    <w:abstractNumId w:val="23"/>
  </w:num>
  <w:num w:numId="6">
    <w:abstractNumId w:val="27"/>
  </w:num>
  <w:num w:numId="7">
    <w:abstractNumId w:val="7"/>
  </w:num>
  <w:num w:numId="8">
    <w:abstractNumId w:val="2"/>
  </w:num>
  <w:num w:numId="9">
    <w:abstractNumId w:val="2"/>
  </w:num>
  <w:num w:numId="10">
    <w:abstractNumId w:val="17"/>
  </w:num>
  <w:num w:numId="11">
    <w:abstractNumId w:val="26"/>
  </w:num>
  <w:num w:numId="12">
    <w:abstractNumId w:val="9"/>
  </w:num>
  <w:num w:numId="13">
    <w:abstractNumId w:val="2"/>
  </w:num>
  <w:num w:numId="14">
    <w:abstractNumId w:val="2"/>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8"/>
  </w:num>
  <w:num w:numId="22">
    <w:abstractNumId w:val="25"/>
    <w:lvlOverride w:ilvl="0">
      <w:startOverride w:val="5"/>
    </w:lvlOverride>
  </w:num>
  <w:num w:numId="23">
    <w:abstractNumId w:val="19"/>
  </w:num>
  <w:num w:numId="24">
    <w:abstractNumId w:val="1"/>
  </w:num>
  <w:num w:numId="25">
    <w:abstractNumId w:val="0"/>
  </w:num>
  <w:num w:numId="26">
    <w:abstractNumId w:val="6"/>
  </w:num>
  <w:num w:numId="27">
    <w:abstractNumId w:val="12"/>
  </w:num>
  <w:num w:numId="28">
    <w:abstractNumId w:val="16"/>
  </w:num>
  <w:num w:numId="29">
    <w:abstractNumId w:val="14"/>
  </w:num>
  <w:num w:numId="30">
    <w:abstractNumId w:val="18"/>
  </w:num>
  <w:num w:numId="31">
    <w:abstractNumId w:val="10"/>
  </w:num>
  <w:num w:numId="32">
    <w:abstractNumId w:val="15"/>
  </w:num>
  <w:num w:numId="33">
    <w:abstractNumId w:val="4"/>
  </w:num>
  <w:num w:numId="34">
    <w:abstractNumId w:val="19"/>
    <w:lvlOverride w:ilvl="0">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9"/>
  </w:num>
  <w:num w:numId="38">
    <w:abstractNumId w:val="19"/>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22"/>
    <w:rsid w:val="00036605"/>
    <w:rsid w:val="00082422"/>
    <w:rsid w:val="00150B0A"/>
    <w:rsid w:val="00192044"/>
    <w:rsid w:val="001B3B85"/>
    <w:rsid w:val="00202DC0"/>
    <w:rsid w:val="00232167"/>
    <w:rsid w:val="0031509A"/>
    <w:rsid w:val="0032331C"/>
    <w:rsid w:val="00324D22"/>
    <w:rsid w:val="00337D87"/>
    <w:rsid w:val="00346ADC"/>
    <w:rsid w:val="00347030"/>
    <w:rsid w:val="0039271A"/>
    <w:rsid w:val="00393F38"/>
    <w:rsid w:val="00396A43"/>
    <w:rsid w:val="003A7B39"/>
    <w:rsid w:val="003B4F45"/>
    <w:rsid w:val="003D2115"/>
    <w:rsid w:val="003D2FE6"/>
    <w:rsid w:val="003D365A"/>
    <w:rsid w:val="00457EC6"/>
    <w:rsid w:val="0049385D"/>
    <w:rsid w:val="004F01DC"/>
    <w:rsid w:val="005306DA"/>
    <w:rsid w:val="00534337"/>
    <w:rsid w:val="0054544F"/>
    <w:rsid w:val="00546C62"/>
    <w:rsid w:val="00572DEF"/>
    <w:rsid w:val="00595F04"/>
    <w:rsid w:val="005A2E75"/>
    <w:rsid w:val="005E2BDA"/>
    <w:rsid w:val="005F3685"/>
    <w:rsid w:val="00654AB6"/>
    <w:rsid w:val="006815D9"/>
    <w:rsid w:val="006C3DE4"/>
    <w:rsid w:val="006C51A2"/>
    <w:rsid w:val="006C7CD5"/>
    <w:rsid w:val="006D4EB2"/>
    <w:rsid w:val="006F67E3"/>
    <w:rsid w:val="006F6B93"/>
    <w:rsid w:val="008005FB"/>
    <w:rsid w:val="008028D4"/>
    <w:rsid w:val="00893E86"/>
    <w:rsid w:val="008C1FB6"/>
    <w:rsid w:val="00907DB3"/>
    <w:rsid w:val="0091730A"/>
    <w:rsid w:val="00956873"/>
    <w:rsid w:val="00980D10"/>
    <w:rsid w:val="009B57C0"/>
    <w:rsid w:val="009C60A0"/>
    <w:rsid w:val="009D1030"/>
    <w:rsid w:val="009D55FF"/>
    <w:rsid w:val="00A10704"/>
    <w:rsid w:val="00A23FF4"/>
    <w:rsid w:val="00A368CE"/>
    <w:rsid w:val="00A75351"/>
    <w:rsid w:val="00A85872"/>
    <w:rsid w:val="00AD0A98"/>
    <w:rsid w:val="00AD466C"/>
    <w:rsid w:val="00AE0CF5"/>
    <w:rsid w:val="00AE2064"/>
    <w:rsid w:val="00AE74CC"/>
    <w:rsid w:val="00B175F3"/>
    <w:rsid w:val="00B46B0C"/>
    <w:rsid w:val="00C12274"/>
    <w:rsid w:val="00CD23A2"/>
    <w:rsid w:val="00CF10B3"/>
    <w:rsid w:val="00D031A5"/>
    <w:rsid w:val="00D25AAC"/>
    <w:rsid w:val="00D447A8"/>
    <w:rsid w:val="00D51084"/>
    <w:rsid w:val="00DA72DC"/>
    <w:rsid w:val="00DC0582"/>
    <w:rsid w:val="00DC1DA1"/>
    <w:rsid w:val="00DD3156"/>
    <w:rsid w:val="00DF42B4"/>
    <w:rsid w:val="00E37C43"/>
    <w:rsid w:val="00E5691C"/>
    <w:rsid w:val="00E946BF"/>
    <w:rsid w:val="00EA53CE"/>
    <w:rsid w:val="00EB0300"/>
    <w:rsid w:val="00F37196"/>
    <w:rsid w:val="00F42F3D"/>
    <w:rsid w:val="00F50D37"/>
    <w:rsid w:val="00F73530"/>
    <w:rsid w:val="00F80BA5"/>
    <w:rsid w:val="00FE5318"/>
    <w:rsid w:val="00FE7C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AA6DE88"/>
  <w15:docId w15:val="{91E4E304-D9C4-4D05-AFD7-803C0C07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it-CH"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85D"/>
    <w:pPr>
      <w:spacing w:line="260" w:lineRule="atLeast"/>
    </w:pPr>
    <w:rPr>
      <w:rFonts w:ascii="Minion Web" w:hAnsi="Minion Web"/>
      <w:lang w:eastAsia="de-DE"/>
    </w:rPr>
  </w:style>
  <w:style w:type="paragraph" w:styleId="berschrift1">
    <w:name w:val="heading 1"/>
    <w:basedOn w:val="Standard"/>
    <w:next w:val="Standard"/>
    <w:autoRedefine/>
    <w:qFormat/>
    <w:rsid w:val="005306DA"/>
    <w:pPr>
      <w:spacing w:before="840" w:after="600" w:line="312" w:lineRule="auto"/>
      <w:jc w:val="center"/>
      <w:outlineLvl w:val="0"/>
    </w:pPr>
    <w:rPr>
      <w:rFonts w:ascii="Arial" w:eastAsiaTheme="minorHAnsi" w:hAnsi="Arial" w:cs="Arial"/>
      <w:b/>
      <w:sz w:val="40"/>
      <w:szCs w:val="40"/>
      <w:lang w:eastAsia="en-US"/>
    </w:rPr>
  </w:style>
  <w:style w:type="paragraph" w:styleId="berschrift2">
    <w:name w:val="heading 2"/>
    <w:basedOn w:val="Standard"/>
    <w:next w:val="Standard"/>
    <w:link w:val="berschrift2Zchn"/>
    <w:autoRedefine/>
    <w:qFormat/>
    <w:rsid w:val="001B3B85"/>
    <w:pPr>
      <w:spacing w:before="840" w:after="600" w:line="312" w:lineRule="auto"/>
      <w:jc w:val="center"/>
      <w:outlineLvl w:val="1"/>
    </w:pPr>
    <w:rPr>
      <w:rFonts w:ascii="Arial" w:eastAsiaTheme="minorHAnsi" w:hAnsi="Arial" w:cs="Arial"/>
      <w:b/>
      <w:sz w:val="36"/>
      <w:szCs w:val="36"/>
      <w:lang w:eastAsia="en-US"/>
    </w:rPr>
  </w:style>
  <w:style w:type="paragraph" w:styleId="berschrift3">
    <w:name w:val="heading 3"/>
    <w:basedOn w:val="Standard"/>
    <w:next w:val="Standard"/>
    <w:link w:val="berschrift3Zchn"/>
    <w:autoRedefine/>
    <w:qFormat/>
    <w:rsid w:val="00D25AAC"/>
    <w:pPr>
      <w:keepNext/>
      <w:numPr>
        <w:numId w:val="3"/>
      </w:numPr>
      <w:tabs>
        <w:tab w:val="left" w:pos="709"/>
      </w:tabs>
      <w:spacing w:before="240"/>
      <w:ind w:left="709" w:hanging="709"/>
      <w:outlineLvl w:val="2"/>
    </w:pPr>
    <w:rPr>
      <w:rFonts w:cs="Arial"/>
      <w:b/>
      <w:bCs/>
      <w:sz w:val="20"/>
      <w:szCs w:val="26"/>
      <w:lang w:eastAsia="fr-FR"/>
    </w:rPr>
  </w:style>
  <w:style w:type="paragraph" w:styleId="berschrift4">
    <w:name w:val="heading 4"/>
    <w:basedOn w:val="Standard"/>
    <w:next w:val="Standard"/>
    <w:link w:val="berschrift4Zchn"/>
    <w:autoRedefine/>
    <w:unhideWhenUsed/>
    <w:qFormat/>
    <w:rsid w:val="001B3B85"/>
    <w:pPr>
      <w:spacing w:before="480" w:after="360" w:line="312" w:lineRule="auto"/>
      <w:outlineLvl w:val="3"/>
    </w:pPr>
    <w:rPr>
      <w:rFonts w:ascii="Arial" w:hAnsi="Arial" w:cs="Arial"/>
      <w:b/>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F10B3"/>
    <w:pPr>
      <w:tabs>
        <w:tab w:val="center" w:pos="4536"/>
        <w:tab w:val="right" w:pos="9072"/>
      </w:tabs>
    </w:pPr>
  </w:style>
  <w:style w:type="paragraph" w:styleId="Fuzeile">
    <w:name w:val="footer"/>
    <w:basedOn w:val="Standard"/>
    <w:rsid w:val="00CF10B3"/>
    <w:pPr>
      <w:tabs>
        <w:tab w:val="center" w:pos="4536"/>
        <w:tab w:val="right" w:pos="9072"/>
      </w:tabs>
    </w:pPr>
  </w:style>
  <w:style w:type="paragraph" w:styleId="Funotentext">
    <w:name w:val="footnote text"/>
    <w:basedOn w:val="Standard"/>
    <w:autoRedefine/>
    <w:semiHidden/>
    <w:rsid w:val="00595F04"/>
    <w:pPr>
      <w:ind w:left="284" w:hanging="284"/>
    </w:pPr>
    <w:rPr>
      <w:sz w:val="20"/>
    </w:rPr>
  </w:style>
  <w:style w:type="paragraph" w:styleId="Listenabsatz">
    <w:name w:val="List Paragraph"/>
    <w:basedOn w:val="Standard"/>
    <w:uiPriority w:val="34"/>
    <w:qFormat/>
    <w:rsid w:val="00572DEF"/>
    <w:pPr>
      <w:spacing w:line="240" w:lineRule="auto"/>
      <w:ind w:left="720"/>
    </w:pPr>
    <w:rPr>
      <w:rFonts w:ascii="Calibri" w:eastAsiaTheme="minorHAnsi" w:hAnsi="Calibri"/>
      <w:sz w:val="22"/>
      <w:szCs w:val="22"/>
      <w:lang w:eastAsia="en-US"/>
    </w:rPr>
  </w:style>
  <w:style w:type="character" w:customStyle="1" w:styleId="berschrift2Zchn">
    <w:name w:val="Überschrift 2 Zchn"/>
    <w:basedOn w:val="Absatz-Standardschriftart"/>
    <w:link w:val="berschrift2"/>
    <w:rsid w:val="001B3B85"/>
    <w:rPr>
      <w:rFonts w:ascii="Arial" w:eastAsiaTheme="minorHAnsi" w:hAnsi="Arial" w:cs="Arial"/>
      <w:b/>
      <w:sz w:val="36"/>
      <w:szCs w:val="36"/>
      <w:lang w:val="it-CH" w:eastAsia="en-US"/>
    </w:rPr>
  </w:style>
  <w:style w:type="character" w:customStyle="1" w:styleId="berschrift3Zchn">
    <w:name w:val="Überschrift 3 Zchn"/>
    <w:basedOn w:val="Absatz-Standardschriftart"/>
    <w:link w:val="berschrift3"/>
    <w:rsid w:val="00D25AAC"/>
    <w:rPr>
      <w:rFonts w:ascii="Verdana" w:hAnsi="Verdana" w:cs="Arial"/>
      <w:b/>
      <w:bCs/>
      <w:sz w:val="20"/>
      <w:szCs w:val="26"/>
      <w:lang w:val="it-CH"/>
    </w:rPr>
  </w:style>
  <w:style w:type="character" w:customStyle="1" w:styleId="berschrift4Zchn">
    <w:name w:val="Überschrift 4 Zchn"/>
    <w:basedOn w:val="Absatz-Standardschriftart"/>
    <w:link w:val="berschrift4"/>
    <w:rsid w:val="001B3B85"/>
    <w:rPr>
      <w:rFonts w:ascii="Arial" w:hAnsi="Arial" w:cs="Arial"/>
      <w:b/>
      <w:sz w:val="28"/>
      <w:szCs w:val="28"/>
      <w:lang w:val="it-CH" w:eastAsia="de-DE"/>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szCs w:val="18"/>
    </w:rPr>
  </w:style>
  <w:style w:type="paragraph" w:customStyle="1" w:styleId="Haupttext2">
    <w:name w:val="Haupttext 2"/>
    <w:basedOn w:val="Listenabsatz"/>
    <w:autoRedefine/>
    <w:qFormat/>
    <w:rsid w:val="00347030"/>
    <w:pPr>
      <w:numPr>
        <w:numId w:val="23"/>
      </w:numPr>
      <w:spacing w:after="240" w:line="312" w:lineRule="auto"/>
    </w:pPr>
    <w:rPr>
      <w:rFonts w:ascii="Arial" w:hAnsi="Arial" w:cs="Arial"/>
    </w:rPr>
  </w:style>
  <w:style w:type="character" w:customStyle="1" w:styleId="berschrift5Zchn">
    <w:name w:val="Überschrift 5 Zchn"/>
    <w:basedOn w:val="Absatz-Standardschriftart"/>
    <w:link w:val="berschrift5"/>
    <w:rsid w:val="00D25AAC"/>
    <w:rPr>
      <w:rFonts w:ascii="Verdana" w:hAnsi="Verdana"/>
      <w:i/>
      <w:sz w:val="18"/>
      <w:lang w:val="it-CH" w:eastAsia="de-CH"/>
    </w:rPr>
  </w:style>
  <w:style w:type="character" w:customStyle="1" w:styleId="KopfzeileZchn">
    <w:name w:val="Kopfzeile Zchn"/>
    <w:basedOn w:val="Absatz-Standardschriftart"/>
    <w:link w:val="Kopfzeile"/>
    <w:rsid w:val="0049385D"/>
    <w:rPr>
      <w:rFonts w:ascii="Minion Web" w:hAnsi="Minion Web"/>
      <w:lang w:val="it-CH" w:eastAsia="de-DE"/>
    </w:rPr>
  </w:style>
  <w:style w:type="paragraph" w:styleId="Sprechblasentext">
    <w:name w:val="Balloon Text"/>
    <w:basedOn w:val="Standard"/>
    <w:link w:val="SprechblasentextZchn"/>
    <w:semiHidden/>
    <w:unhideWhenUsed/>
    <w:rsid w:val="009D103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9D1030"/>
    <w:rPr>
      <w:rFonts w:ascii="Segoe UI" w:hAnsi="Segoe UI" w:cs="Segoe UI"/>
      <w:sz w:val="18"/>
      <w:szCs w:val="18"/>
      <w:lang w:val="it-CH" w:eastAsia="de-DE"/>
    </w:rPr>
  </w:style>
  <w:style w:type="character" w:styleId="Kommentarzeichen">
    <w:name w:val="annotation reference"/>
    <w:basedOn w:val="Absatz-Standardschriftart"/>
    <w:semiHidden/>
    <w:unhideWhenUsed/>
    <w:rsid w:val="00A75351"/>
    <w:rPr>
      <w:sz w:val="16"/>
      <w:szCs w:val="16"/>
    </w:rPr>
  </w:style>
  <w:style w:type="paragraph" w:styleId="Kommentartext">
    <w:name w:val="annotation text"/>
    <w:basedOn w:val="Standard"/>
    <w:link w:val="KommentartextZchn"/>
    <w:semiHidden/>
    <w:unhideWhenUsed/>
    <w:rsid w:val="00A75351"/>
    <w:pPr>
      <w:spacing w:line="240" w:lineRule="auto"/>
    </w:pPr>
    <w:rPr>
      <w:sz w:val="20"/>
    </w:rPr>
  </w:style>
  <w:style w:type="character" w:customStyle="1" w:styleId="KommentartextZchn">
    <w:name w:val="Kommentartext Zchn"/>
    <w:basedOn w:val="Absatz-Standardschriftart"/>
    <w:link w:val="Kommentartext"/>
    <w:semiHidden/>
    <w:rsid w:val="00A75351"/>
    <w:rPr>
      <w:rFonts w:ascii="Minion Web" w:hAnsi="Minion Web"/>
      <w:sz w:val="20"/>
      <w:lang w:val="it-CH" w:eastAsia="de-DE"/>
    </w:rPr>
  </w:style>
  <w:style w:type="paragraph" w:styleId="Kommentarthema">
    <w:name w:val="annotation subject"/>
    <w:basedOn w:val="Kommentartext"/>
    <w:next w:val="Kommentartext"/>
    <w:link w:val="KommentarthemaZchn"/>
    <w:semiHidden/>
    <w:unhideWhenUsed/>
    <w:rsid w:val="00A75351"/>
    <w:rPr>
      <w:b/>
      <w:bCs/>
    </w:rPr>
  </w:style>
  <w:style w:type="character" w:customStyle="1" w:styleId="KommentarthemaZchn">
    <w:name w:val="Kommentarthema Zchn"/>
    <w:basedOn w:val="KommentartextZchn"/>
    <w:link w:val="Kommentarthema"/>
    <w:semiHidden/>
    <w:rsid w:val="00A75351"/>
    <w:rPr>
      <w:rFonts w:ascii="Minion Web" w:hAnsi="Minion Web"/>
      <w:b/>
      <w:bCs/>
      <w:sz w:val="20"/>
      <w:lang w:val="it-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34222884">
      <w:bodyDiv w:val="1"/>
      <w:marLeft w:val="0"/>
      <w:marRight w:val="0"/>
      <w:marTop w:val="0"/>
      <w:marBottom w:val="0"/>
      <w:divBdr>
        <w:top w:val="none" w:sz="0" w:space="0" w:color="auto"/>
        <w:left w:val="none" w:sz="0" w:space="0" w:color="auto"/>
        <w:bottom w:val="none" w:sz="0" w:space="0" w:color="auto"/>
        <w:right w:val="none" w:sz="0" w:space="0" w:color="auto"/>
      </w:divBdr>
    </w:div>
    <w:div w:id="1635981662">
      <w:bodyDiv w:val="1"/>
      <w:marLeft w:val="0"/>
      <w:marRight w:val="0"/>
      <w:marTop w:val="0"/>
      <w:marBottom w:val="0"/>
      <w:divBdr>
        <w:top w:val="none" w:sz="0" w:space="0" w:color="auto"/>
        <w:left w:val="none" w:sz="0" w:space="0" w:color="auto"/>
        <w:bottom w:val="none" w:sz="0" w:space="0" w:color="auto"/>
        <w:right w:val="none" w:sz="0" w:space="0" w:color="auto"/>
      </w:divBdr>
      <w:divsChild>
        <w:div w:id="519323958">
          <w:marLeft w:val="-225"/>
          <w:marRight w:val="-225"/>
          <w:marTop w:val="0"/>
          <w:marBottom w:val="0"/>
          <w:divBdr>
            <w:top w:val="none" w:sz="0" w:space="0" w:color="auto"/>
            <w:left w:val="none" w:sz="0" w:space="0" w:color="auto"/>
            <w:bottom w:val="none" w:sz="0" w:space="0" w:color="auto"/>
            <w:right w:val="none" w:sz="0" w:space="0" w:color="auto"/>
          </w:divBdr>
          <w:divsChild>
            <w:div w:id="138811675">
              <w:marLeft w:val="0"/>
              <w:marRight w:val="0"/>
              <w:marTop w:val="0"/>
              <w:marBottom w:val="0"/>
              <w:divBdr>
                <w:top w:val="none" w:sz="0" w:space="0" w:color="auto"/>
                <w:left w:val="none" w:sz="0" w:space="0" w:color="auto"/>
                <w:bottom w:val="none" w:sz="0" w:space="0" w:color="auto"/>
                <w:right w:val="none" w:sz="0" w:space="0" w:color="auto"/>
              </w:divBdr>
              <w:divsChild>
                <w:div w:id="403987616">
                  <w:marLeft w:val="0"/>
                  <w:marRight w:val="0"/>
                  <w:marTop w:val="0"/>
                  <w:marBottom w:val="0"/>
                  <w:divBdr>
                    <w:top w:val="none" w:sz="0" w:space="0" w:color="auto"/>
                    <w:left w:val="none" w:sz="0" w:space="0" w:color="auto"/>
                    <w:bottom w:val="none" w:sz="0" w:space="0" w:color="auto"/>
                    <w:right w:val="none" w:sz="0" w:space="0" w:color="auto"/>
                  </w:divBdr>
                  <w:divsChild>
                    <w:div w:id="335889503">
                      <w:marLeft w:val="0"/>
                      <w:marRight w:val="0"/>
                      <w:marTop w:val="0"/>
                      <w:marBottom w:val="0"/>
                      <w:divBdr>
                        <w:top w:val="none" w:sz="0" w:space="0" w:color="auto"/>
                        <w:left w:val="none" w:sz="0" w:space="0" w:color="auto"/>
                        <w:bottom w:val="none" w:sz="0" w:space="0" w:color="auto"/>
                        <w:right w:val="none" w:sz="0" w:space="0" w:color="auto"/>
                      </w:divBdr>
                      <w:divsChild>
                        <w:div w:id="1095637436">
                          <w:marLeft w:val="0"/>
                          <w:marRight w:val="0"/>
                          <w:marTop w:val="79"/>
                          <w:marBottom w:val="0"/>
                          <w:divBdr>
                            <w:top w:val="none" w:sz="0" w:space="0" w:color="auto"/>
                            <w:left w:val="none" w:sz="0" w:space="0" w:color="auto"/>
                            <w:bottom w:val="none" w:sz="0" w:space="0" w:color="auto"/>
                            <w:right w:val="none" w:sz="0" w:space="0" w:color="auto"/>
                          </w:divBdr>
                        </w:div>
                        <w:div w:id="1302035087">
                          <w:marLeft w:val="0"/>
                          <w:marRight w:val="0"/>
                          <w:marTop w:val="79"/>
                          <w:marBottom w:val="0"/>
                          <w:divBdr>
                            <w:top w:val="none" w:sz="0" w:space="0" w:color="auto"/>
                            <w:left w:val="none" w:sz="0" w:space="0" w:color="auto"/>
                            <w:bottom w:val="none" w:sz="0" w:space="0" w:color="auto"/>
                            <w:right w:val="none" w:sz="0" w:space="0" w:color="auto"/>
                          </w:divBdr>
                        </w:div>
                        <w:div w:id="15464056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Props1.xml><?xml version="1.0" encoding="utf-8"?>
<ds:datastoreItem xmlns:ds="http://schemas.openxmlformats.org/officeDocument/2006/customXml" ds:itemID="{270973F1-8D2B-430C-AA1F-E9EC9EB6DAF7}">
  <ds:schemaRefs>
    <ds:schemaRef ds:uri="http://schemas.microsoft.com/sharepoint/v3/contenttype/forms"/>
  </ds:schemaRefs>
</ds:datastoreItem>
</file>

<file path=customXml/itemProps2.xml><?xml version="1.0" encoding="utf-8"?>
<ds:datastoreItem xmlns:ds="http://schemas.openxmlformats.org/officeDocument/2006/customXml" ds:itemID="{D638BDC1-7188-4244-8417-CBCAD6A2F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A7D6F-BC3B-481A-9EAE-087C6A5958F2}">
  <ds:schemaRefs>
    <ds:schemaRef ds:uri="http://schemas.microsoft.com/office/2006/metadata/properties"/>
    <ds:schemaRef ds:uri="http://schemas.microsoft.com/office/infopath/2007/PartnerControls"/>
    <ds:schemaRef ds:uri="http://schemas.microsoft.com/sharepoint/v3"/>
    <ds:schemaRef ds:uri="2d999939-2a46-46d1-8935-28b39244f330"/>
    <ds:schemaRef ds:uri="b9bbc5c3-42c9-4c30-b7a3-3f0c5e2a5378"/>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3</Pages>
  <Words>576</Words>
  <Characters>3467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Decisione del Comune relativa al rimborso di spese di urbanizzazione di privati (art. 19t cpv. 2 LPTC)</dc:title>
  <dc:creator>Corina Caluori</dc:creator>
  <cp:lastModifiedBy>Cadosch Adrian</cp:lastModifiedBy>
  <cp:revision>4</cp:revision>
  <cp:lastPrinted>2019-11-21T15:06:00Z</cp:lastPrinted>
  <dcterms:created xsi:type="dcterms:W3CDTF">2023-02-01T06:37:00Z</dcterms:created>
  <dcterms:modified xsi:type="dcterms:W3CDTF">2024-12-03T08:11:00Z</dcterms:modified>
  <cp:category>Richieste di indennizzo di privati, diritti di finanziamento dei comuni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