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40" w:rsidRPr="00404E59" w:rsidRDefault="00B87640" w:rsidP="00B87640">
      <w:pPr>
        <w:spacing w:line="312" w:lineRule="auto"/>
        <w:jc w:val="center"/>
        <w:rPr>
          <w:rFonts w:ascii="Arial" w:eastAsiaTheme="minorHAnsi" w:hAnsi="Arial" w:cs="Arial"/>
          <w:b/>
          <w:szCs w:val="22"/>
          <w:lang w:val="de-DE" w:eastAsia="en-US"/>
        </w:rPr>
      </w:pPr>
    </w:p>
    <w:p w:rsidR="00D21C5E" w:rsidRDefault="004C494B" w:rsidP="00B87640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 xml:space="preserve">Notificazione per l'iscrizione </w:t>
      </w:r>
      <w:r w:rsidR="00404E59">
        <w:rPr>
          <w:rFonts w:ascii="Arial" w:hAnsi="Arial"/>
          <w:b/>
          <w:color w:val="auto"/>
          <w:sz w:val="44"/>
          <w:szCs w:val="44"/>
        </w:rPr>
        <w:br/>
      </w:r>
      <w:r>
        <w:rPr>
          <w:rFonts w:ascii="Arial" w:hAnsi="Arial"/>
          <w:b/>
          <w:color w:val="auto"/>
          <w:sz w:val="44"/>
          <w:szCs w:val="44"/>
        </w:rPr>
        <w:t>nel registro fondiario</w:t>
      </w:r>
      <w:r w:rsidR="00B87640">
        <w:rPr>
          <w:rStyle w:val="Funotenzeichen"/>
          <w:rFonts w:ascii="Arial" w:hAnsi="Arial"/>
          <w:b/>
          <w:color w:val="auto"/>
          <w:sz w:val="44"/>
          <w:szCs w:val="44"/>
        </w:rPr>
        <w:footnoteReference w:id="1"/>
      </w:r>
    </w:p>
    <w:p w:rsidR="00B87640" w:rsidRPr="006349AC" w:rsidRDefault="00830EF9" w:rsidP="00B87640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color w:val="auto"/>
          <w:sz w:val="32"/>
          <w:szCs w:val="44"/>
        </w:rPr>
        <w:t>(per la menzione dell'obbligo di versare la tassa sul plusvalore e l'iscrizione del diritto di pegno)</w:t>
      </w:r>
    </w:p>
    <w:p w:rsidR="00B87640" w:rsidRPr="006349AC" w:rsidRDefault="00B87640" w:rsidP="00B87640">
      <w:pPr>
        <w:pStyle w:val="Text"/>
        <w:tabs>
          <w:tab w:val="left" w:pos="1425"/>
        </w:tabs>
        <w:jc w:val="center"/>
        <w:rPr>
          <w:rFonts w:ascii="Arial" w:hAnsi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Presso l'Ufficio del registro fondiario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], sulla base degli atti seguenti si notifica per l'iscrizione:</w:t>
      </w:r>
    </w:p>
    <w:p w:rsidR="00B87640" w:rsidRPr="006349AC" w:rsidRDefault="00B87640" w:rsidP="00B87640">
      <w:pPr>
        <w:spacing w:after="180" w:line="26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decisione di tassazione del Comune di [</w:t>
      </w:r>
      <w:r>
        <w:rPr>
          <w:rFonts w:ascii="Arial" w:hAnsi="Arial"/>
          <w:sz w:val="22"/>
          <w:szCs w:val="22"/>
          <w:highlight w:val="lightGray"/>
        </w:rPr>
        <w:t>…</w:t>
      </w:r>
      <w:r>
        <w:rPr>
          <w:rFonts w:ascii="Arial" w:hAnsi="Arial"/>
          <w:sz w:val="22"/>
          <w:szCs w:val="22"/>
        </w:rPr>
        <w:t>] ai sensi dell'art. 19m cpv. 1 LPTC a carico [</w:t>
      </w:r>
      <w:r>
        <w:rPr>
          <w:rFonts w:ascii="Arial" w:hAnsi="Arial"/>
          <w:sz w:val="22"/>
          <w:szCs w:val="22"/>
          <w:highlight w:val="lightGray"/>
        </w:rPr>
        <w:t>del signor/della signora…]</w:t>
      </w:r>
      <w:r>
        <w:rPr>
          <w:rFonts w:ascii="Arial" w:hAnsi="Arial"/>
          <w:sz w:val="22"/>
          <w:szCs w:val="22"/>
        </w:rPr>
        <w:t xml:space="preserve"> concernente la tassa sul plusvalore</w:t>
      </w:r>
    </w:p>
    <w:p w:rsidR="00B87640" w:rsidRPr="006349AC" w:rsidRDefault="00B87640" w:rsidP="00B87640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1.</w:t>
      </w:r>
      <w:r>
        <w:rPr>
          <w:rFonts w:ascii="Arial" w:hAnsi="Arial"/>
          <w:color w:val="auto"/>
          <w:sz w:val="22"/>
          <w:szCs w:val="22"/>
        </w:rPr>
        <w:tab/>
        <w:t>la menzione dell'obbligo di versare la tassa sul plusvalore per un importo di CHF [</w:t>
      </w:r>
      <w:r>
        <w:rPr>
          <w:rFonts w:ascii="Arial" w:hAnsi="Arial"/>
          <w:b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 indicizzata secondo l'indice nazionale dei prezzi al consumo conformemente all'art. 19m cpv. 1 e 3 LPTC in unione con l'art. 19w cpv. 2 n. 6 LPTC; e</w:t>
      </w:r>
    </w:p>
    <w:p w:rsidR="00B87640" w:rsidRPr="006349AC" w:rsidRDefault="00B87640" w:rsidP="00B87640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2.</w:t>
      </w:r>
      <w:r>
        <w:rPr>
          <w:rFonts w:ascii="Arial" w:hAnsi="Arial"/>
          <w:color w:val="auto"/>
          <w:sz w:val="22"/>
          <w:szCs w:val="22"/>
        </w:rPr>
        <w:tab/>
        <w:t>l'iscrizione dell'ipoteca legale conformemente all'art. 131 cpv. 1 n. 3 LICC in unione con l'art. 19w cpv. 3 LPTC per un importo pari a CHF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], indicizzato secondo l'indice nazionale dei prezzi al consumo</w:t>
      </w:r>
    </w:p>
    <w:p w:rsidR="00B87640" w:rsidRPr="006349AC" w:rsidRDefault="00B87640" w:rsidP="00B87640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sul fondo n.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], Comune di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>], di proprietà [</w:t>
      </w:r>
      <w:r>
        <w:rPr>
          <w:rFonts w:ascii="Arial" w:hAnsi="Arial"/>
          <w:color w:val="auto"/>
          <w:sz w:val="22"/>
          <w:szCs w:val="22"/>
          <w:highlight w:val="lightGray"/>
        </w:rPr>
        <w:t>del signor/della signora …</w:t>
      </w:r>
      <w:r>
        <w:rPr>
          <w:rFonts w:ascii="Arial" w:hAnsi="Arial"/>
          <w:color w:val="auto"/>
          <w:sz w:val="22"/>
          <w:szCs w:val="22"/>
        </w:rPr>
        <w:t>]</w:t>
      </w: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L'Ufficio del registro fondiario viene incaricato e autorizzato a procedere immediatamente con la menzione </w:t>
      </w:r>
      <w:r w:rsidR="00404E59">
        <w:rPr>
          <w:rFonts w:ascii="Arial" w:hAnsi="Arial"/>
          <w:color w:val="auto"/>
          <w:sz w:val="22"/>
          <w:szCs w:val="22"/>
        </w:rPr>
        <w:t xml:space="preserve">dell'obbligo di versare la tassa sul plusvalore </w:t>
      </w:r>
      <w:r w:rsidR="00404E59">
        <w:rPr>
          <w:rFonts w:ascii="Arial" w:hAnsi="Arial"/>
          <w:color w:val="auto"/>
          <w:sz w:val="22"/>
          <w:szCs w:val="22"/>
        </w:rPr>
        <w:t xml:space="preserve">e </w:t>
      </w:r>
      <w:bookmarkStart w:id="0" w:name="_GoBack"/>
      <w:r w:rsidR="00404E59">
        <w:rPr>
          <w:rFonts w:ascii="Arial" w:hAnsi="Arial"/>
          <w:color w:val="auto"/>
          <w:sz w:val="22"/>
          <w:szCs w:val="22"/>
        </w:rPr>
        <w:t xml:space="preserve">l'iscrizione dell'ipoteca legale </w:t>
      </w:r>
      <w:bookmarkEnd w:id="0"/>
      <w:r>
        <w:rPr>
          <w:rFonts w:ascii="Arial" w:hAnsi="Arial"/>
          <w:color w:val="auto"/>
          <w:sz w:val="22"/>
          <w:szCs w:val="22"/>
        </w:rPr>
        <w:t>nel registro fondiario.</w:t>
      </w: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[</w:t>
      </w:r>
      <w:r>
        <w:rPr>
          <w:rFonts w:ascii="Arial" w:hAnsi="Arial"/>
          <w:color w:val="auto"/>
          <w:sz w:val="22"/>
          <w:szCs w:val="22"/>
          <w:highlight w:val="lightGray"/>
        </w:rPr>
        <w:t>Luogo</w:t>
      </w:r>
      <w:r>
        <w:rPr>
          <w:rFonts w:ascii="Arial" w:hAnsi="Arial"/>
          <w:color w:val="auto"/>
          <w:sz w:val="22"/>
          <w:szCs w:val="22"/>
        </w:rPr>
        <w:t>], [</w:t>
      </w:r>
      <w:r>
        <w:rPr>
          <w:rFonts w:ascii="Arial" w:hAnsi="Arial"/>
          <w:color w:val="auto"/>
          <w:sz w:val="22"/>
          <w:szCs w:val="22"/>
          <w:highlight w:val="lightGray"/>
        </w:rPr>
        <w:t>data</w:t>
      </w:r>
      <w:r>
        <w:rPr>
          <w:rFonts w:ascii="Arial" w:hAnsi="Arial"/>
          <w:color w:val="auto"/>
          <w:sz w:val="22"/>
          <w:szCs w:val="22"/>
        </w:rPr>
        <w:t>]</w:t>
      </w: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Per il Comune di [</w:t>
      </w:r>
      <w:r>
        <w:rPr>
          <w:rFonts w:ascii="Arial" w:hAnsi="Arial"/>
          <w:color w:val="auto"/>
          <w:sz w:val="22"/>
          <w:szCs w:val="22"/>
          <w:highlight w:val="lightGray"/>
        </w:rPr>
        <w:t>…</w:t>
      </w:r>
      <w:r>
        <w:rPr>
          <w:rFonts w:ascii="Arial" w:hAnsi="Arial"/>
          <w:color w:val="auto"/>
          <w:sz w:val="22"/>
          <w:szCs w:val="22"/>
        </w:rPr>
        <w:t xml:space="preserve">] </w:t>
      </w: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</w:p>
    <w:p w:rsidR="00B87640" w:rsidRPr="006349AC" w:rsidRDefault="00B87640" w:rsidP="00B87640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……………………………………</w:t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  <w:t>……………………………………</w:t>
      </w:r>
    </w:p>
    <w:p w:rsidR="00B87640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[</w:t>
      </w:r>
      <w:r>
        <w:rPr>
          <w:rFonts w:ascii="Arial" w:hAnsi="Arial"/>
          <w:color w:val="auto"/>
          <w:sz w:val="22"/>
          <w:szCs w:val="22"/>
          <w:highlight w:val="lightGray"/>
        </w:rPr>
        <w:t>nome e funzione</w:t>
      </w:r>
      <w:r>
        <w:rPr>
          <w:rFonts w:ascii="Arial" w:hAnsi="Arial"/>
          <w:color w:val="auto"/>
          <w:sz w:val="22"/>
          <w:szCs w:val="22"/>
        </w:rPr>
        <w:t>]</w:t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</w:r>
      <w:r>
        <w:rPr>
          <w:rFonts w:ascii="Arial" w:hAnsi="Arial"/>
          <w:color w:val="auto"/>
          <w:sz w:val="22"/>
          <w:szCs w:val="22"/>
        </w:rPr>
        <w:tab/>
        <w:t>[</w:t>
      </w:r>
      <w:r>
        <w:rPr>
          <w:rFonts w:ascii="Arial" w:hAnsi="Arial"/>
          <w:color w:val="auto"/>
          <w:sz w:val="22"/>
          <w:szCs w:val="22"/>
          <w:highlight w:val="lightGray"/>
        </w:rPr>
        <w:t>nome e funzione</w:t>
      </w:r>
      <w:r>
        <w:rPr>
          <w:rFonts w:ascii="Arial" w:hAnsi="Arial"/>
          <w:color w:val="auto"/>
          <w:sz w:val="22"/>
          <w:szCs w:val="22"/>
        </w:rPr>
        <w:t>]</w:t>
      </w:r>
    </w:p>
    <w:p w:rsidR="00B87640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</w:rPr>
      </w:pPr>
    </w:p>
    <w:p w:rsidR="008934B8" w:rsidRPr="007535E0" w:rsidRDefault="008934B8" w:rsidP="0089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Notificazione per l'iscrizione nel registro fondiario della tassa sul plusvalore (art. 19m cpv. 1 e 3 LPTC) e dell'ipoteca legale (art. 131 cpv. 1 n. 3 LICC) secondo l'art. 19w cpv. 2 n. 6 e cpv. 3 LPTC</w:t>
      </w:r>
    </w:p>
    <w:p w:rsidR="008934B8" w:rsidRPr="00710656" w:rsidRDefault="008934B8" w:rsidP="00893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Questo modello rappresenta uno strumento ausiliario del Cantone. Questo modello non sostituisce una consulenza legale. Le formulazioni contenute in questo modello hanno mero carattere di proposta. I passaggi di testo che devono essere integrati da parte dei comuni vengono resi individuabili con i segnaposto messi tra parentesi quadre […] e si trovano su sfondo grigio.</w:t>
      </w:r>
    </w:p>
    <w:p w:rsidR="00B87640" w:rsidRPr="00404E59" w:rsidRDefault="00B87640" w:rsidP="00B87640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color w:val="auto"/>
          <w:sz w:val="22"/>
          <w:szCs w:val="22"/>
          <w:lang w:val="it-CH"/>
        </w:rPr>
      </w:pPr>
    </w:p>
    <w:sectPr w:rsidR="00B87640" w:rsidRPr="00404E59" w:rsidSect="006F6B93">
      <w:headerReference w:type="first" r:id="rId7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B87640" w:rsidRPr="00710656" w:rsidRDefault="00B87640" w:rsidP="00B87640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Se la notificazione per l'iscrizione nel registro fondiario è già inclusa nella decisione di tassazione (cfr. guida d'applicazione M6), non occorre compilare il presente modulo. In questo caso la decisione di tassazione (originale) è sufficiente per la menzione nel registro fondiario e l'iscrizione nel registro fondiario.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40" w:rsidRPr="00E31FDF" w:rsidRDefault="00B87640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</w:rPr>
    </w:pPr>
    <w:r>
      <w:rPr>
        <w:rFonts w:ascii="Arial" w:hAnsi="Arial"/>
        <w:b/>
        <w:szCs w:val="16"/>
      </w:rPr>
      <w:t>Guida d'applicazione Gb1</w:t>
    </w:r>
  </w:p>
  <w:p w:rsidR="00B87640" w:rsidRPr="001B3B85" w:rsidRDefault="00E0726B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</w:rPr>
    </w:pPr>
    <w:r>
      <w:rPr>
        <w:rFonts w:ascii="Arial" w:hAnsi="Arial"/>
        <w:sz w:val="16"/>
        <w:szCs w:val="16"/>
      </w:rPr>
      <w:t>Ufficio per lo sviluppo del territorio dei Grigioni, versione stato 30.01.2020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82422"/>
    <w:rsid w:val="00082DFB"/>
    <w:rsid w:val="00202DC0"/>
    <w:rsid w:val="002B5083"/>
    <w:rsid w:val="00323843"/>
    <w:rsid w:val="00324D22"/>
    <w:rsid w:val="00330054"/>
    <w:rsid w:val="0039271A"/>
    <w:rsid w:val="00393F38"/>
    <w:rsid w:val="003A7B39"/>
    <w:rsid w:val="003D2115"/>
    <w:rsid w:val="003D365A"/>
    <w:rsid w:val="00404E59"/>
    <w:rsid w:val="004419B2"/>
    <w:rsid w:val="004468F5"/>
    <w:rsid w:val="0049385D"/>
    <w:rsid w:val="004C494B"/>
    <w:rsid w:val="004F01DC"/>
    <w:rsid w:val="00572DEF"/>
    <w:rsid w:val="00595F04"/>
    <w:rsid w:val="005A2E75"/>
    <w:rsid w:val="005E2BDA"/>
    <w:rsid w:val="005F3685"/>
    <w:rsid w:val="00601367"/>
    <w:rsid w:val="006349AC"/>
    <w:rsid w:val="006815D9"/>
    <w:rsid w:val="00697CD7"/>
    <w:rsid w:val="006A4045"/>
    <w:rsid w:val="006C3DE4"/>
    <w:rsid w:val="006C51A2"/>
    <w:rsid w:val="006C7CD5"/>
    <w:rsid w:val="006F6B93"/>
    <w:rsid w:val="00710656"/>
    <w:rsid w:val="007535E0"/>
    <w:rsid w:val="00830EF9"/>
    <w:rsid w:val="00837F96"/>
    <w:rsid w:val="008934B8"/>
    <w:rsid w:val="00893E86"/>
    <w:rsid w:val="008C1FB6"/>
    <w:rsid w:val="008F4E95"/>
    <w:rsid w:val="0091730A"/>
    <w:rsid w:val="00923C4C"/>
    <w:rsid w:val="0097467D"/>
    <w:rsid w:val="009A14B3"/>
    <w:rsid w:val="009D55FF"/>
    <w:rsid w:val="00A85872"/>
    <w:rsid w:val="00A86A05"/>
    <w:rsid w:val="00AD466C"/>
    <w:rsid w:val="00AE0CF5"/>
    <w:rsid w:val="00B46B0C"/>
    <w:rsid w:val="00B87640"/>
    <w:rsid w:val="00C12274"/>
    <w:rsid w:val="00C64B0E"/>
    <w:rsid w:val="00CD23A2"/>
    <w:rsid w:val="00CF10B3"/>
    <w:rsid w:val="00D21C5E"/>
    <w:rsid w:val="00D25AAC"/>
    <w:rsid w:val="00D51084"/>
    <w:rsid w:val="00DC0582"/>
    <w:rsid w:val="00DC1DA1"/>
    <w:rsid w:val="00DF42B4"/>
    <w:rsid w:val="00E0726B"/>
    <w:rsid w:val="00E31FDF"/>
    <w:rsid w:val="00E3588D"/>
    <w:rsid w:val="00E5691C"/>
    <w:rsid w:val="00E57083"/>
    <w:rsid w:val="00E76B9A"/>
    <w:rsid w:val="00EB0300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77ABA32D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it-IT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it-IT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it-IT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it-IT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it-IT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it-IT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paragraph" w:styleId="Sprechblasentext">
    <w:name w:val="Balloon Text"/>
    <w:basedOn w:val="Standard"/>
    <w:link w:val="SprechblasentextZchn"/>
    <w:semiHidden/>
    <w:unhideWhenUsed/>
    <w:rsid w:val="004419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419B2"/>
    <w:rPr>
      <w:rFonts w:ascii="Segoe UI" w:hAnsi="Segoe UI" w:cs="Segoe UI"/>
      <w:sz w:val="18"/>
      <w:szCs w:val="18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CustomerID xmlns="b9bbc5c3-42c9-4c30-b7a3-3f0c5e2a537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6C5E2B-C392-4AF5-8217-984A12401B99}"/>
</file>

<file path=customXml/itemProps2.xml><?xml version="1.0" encoding="utf-8"?>
<ds:datastoreItem xmlns:ds="http://schemas.openxmlformats.org/officeDocument/2006/customXml" ds:itemID="{3B1FDA9E-4697-44C6-A41A-45F93941DE71}"/>
</file>

<file path=customXml/itemProps3.xml><?xml version="1.0" encoding="utf-8"?>
<ds:datastoreItem xmlns:ds="http://schemas.openxmlformats.org/officeDocument/2006/customXml" ds:itemID="{E6394F36-0454-4ECA-8818-3B2A03C7EC94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Notificazione per l'iscrizione  nel registro fondiario  (per la menzione dell'obbligo di versare la tassa sul plusva-lore e l'iscrizione del diritto di pegno)</dc:title>
  <dc:creator>Corina Caluori</dc:creator>
  <cp:lastModifiedBy>Broder Toni</cp:lastModifiedBy>
  <cp:revision>28</cp:revision>
  <cp:lastPrinted>2007-06-01T14:57:00Z</cp:lastPrinted>
  <dcterms:created xsi:type="dcterms:W3CDTF">2019-10-22T08:37:00Z</dcterms:created>
  <dcterms:modified xsi:type="dcterms:W3CDTF">2022-01-03T16:17:00Z</dcterms:modified>
  <cp:category>In generale, rapporto di pianificazione e di partecipazione e accordi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