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08F1" w14:textId="77777777"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5E62E0F7" w14:textId="77777777" w:rsidR="00235CA5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Notificazione per l'iscrizione nel registro fondiario</w:t>
      </w:r>
      <w:r w:rsidR="00675326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</w:p>
    <w:p w14:paraId="125D39C0" w14:textId="77777777" w:rsidR="00675326" w:rsidRPr="006349AC" w:rsidRDefault="00CC64FA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color w:val="auto"/>
          <w:sz w:val="32"/>
          <w:szCs w:val="44"/>
        </w:rPr>
        <w:t>(per obbligo di edificazione previsto dal contratto e diritto di compera)</w:t>
      </w:r>
    </w:p>
    <w:p w14:paraId="1D7D424F" w14:textId="77777777" w:rsidR="00675326" w:rsidRPr="006349AC" w:rsidRDefault="00675326" w:rsidP="00675326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14:paraId="69659615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14:paraId="793B851C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Presso l'Ufficio del registro fondiario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sulla base degli atti seguenti si notifica per l'iscrizione:</w:t>
      </w:r>
    </w:p>
    <w:p w14:paraId="7B6E6912" w14:textId="77777777" w:rsidR="00675326" w:rsidRPr="006349AC" w:rsidRDefault="00675326" w:rsidP="00675326">
      <w:pPr>
        <w:spacing w:after="180" w:line="26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contratto tra il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rappresentato da [</w:t>
      </w:r>
      <w:r>
        <w:rPr>
          <w:rFonts w:ascii="Arial" w:hAnsi="Arial"/>
          <w:sz w:val="22"/>
          <w:szCs w:val="22"/>
          <w:highlight w:val="lightGray"/>
        </w:rPr>
        <w:t>nome sindaco/a</w:t>
      </w:r>
      <w:r>
        <w:rPr>
          <w:rFonts w:ascii="Arial" w:hAnsi="Arial"/>
          <w:sz w:val="22"/>
          <w:szCs w:val="22"/>
        </w:rPr>
        <w:t>] e [</w:t>
      </w:r>
      <w:r>
        <w:rPr>
          <w:rFonts w:ascii="Arial" w:hAnsi="Arial"/>
          <w:sz w:val="22"/>
          <w:szCs w:val="22"/>
          <w:highlight w:val="lightGray"/>
        </w:rPr>
        <w:t>nome segretario/a comunale</w:t>
      </w:r>
      <w:r>
        <w:rPr>
          <w:rFonts w:ascii="Arial" w:hAnsi="Arial"/>
          <w:sz w:val="22"/>
          <w:szCs w:val="22"/>
        </w:rPr>
        <w:t>] e [</w:t>
      </w:r>
      <w:r>
        <w:rPr>
          <w:rFonts w:ascii="Arial" w:hAnsi="Arial"/>
          <w:sz w:val="22"/>
          <w:szCs w:val="22"/>
          <w:highlight w:val="lightGray"/>
        </w:rPr>
        <w:t>proprietario/a del fondo</w:t>
      </w:r>
      <w:r>
        <w:rPr>
          <w:rFonts w:ascii="Arial" w:hAnsi="Arial"/>
          <w:sz w:val="22"/>
          <w:szCs w:val="22"/>
        </w:rPr>
        <w:t>] del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concernente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</w:t>
      </w:r>
    </w:p>
    <w:p w14:paraId="55C1D8F0" w14:textId="77777777" w:rsidR="00675326" w:rsidRPr="006349AC" w:rsidRDefault="00675326" w:rsidP="00675326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08AC63B4" w14:textId="6964382B"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1.</w:t>
      </w:r>
      <w:r>
        <w:rPr>
          <w:rFonts w:ascii="Arial" w:hAnsi="Arial"/>
          <w:color w:val="auto"/>
          <w:sz w:val="22"/>
          <w:szCs w:val="22"/>
        </w:rPr>
        <w:tab/>
        <w:t>la menzione dell'obbligo di edificazione previsto dal contratto (art. 19b LPTC in unione con l'art. 19w cpv. 2 n. 1 LPTC</w:t>
      </w:r>
      <w:r w:rsidR="005F50CD">
        <w:rPr>
          <w:rFonts w:ascii="Arial" w:hAnsi="Arial"/>
          <w:color w:val="auto"/>
          <w:sz w:val="22"/>
          <w:szCs w:val="22"/>
        </w:rPr>
        <w:t xml:space="preserve"> e l’art. [</w:t>
      </w:r>
      <w:r w:rsidR="00BD4DF3">
        <w:rPr>
          <w:rFonts w:ascii="Arial" w:hAnsi="Arial"/>
          <w:color w:val="auto"/>
          <w:sz w:val="22"/>
          <w:szCs w:val="22"/>
          <w:highlight w:val="lightGray"/>
        </w:rPr>
        <w:t>…</w:t>
      </w:r>
      <w:r w:rsidR="005F50CD">
        <w:rPr>
          <w:rFonts w:ascii="Arial" w:hAnsi="Arial"/>
          <w:color w:val="auto"/>
          <w:sz w:val="22"/>
          <w:szCs w:val="22"/>
        </w:rPr>
        <w:t xml:space="preserve">] </w:t>
      </w:r>
      <w:r w:rsidR="003A6E4E">
        <w:rPr>
          <w:rFonts w:ascii="Arial" w:hAnsi="Arial"/>
          <w:color w:val="auto"/>
          <w:sz w:val="22"/>
          <w:szCs w:val="22"/>
        </w:rPr>
        <w:t>LE</w:t>
      </w:r>
      <w:r>
        <w:rPr>
          <w:rFonts w:ascii="Arial" w:hAnsi="Arial"/>
          <w:color w:val="auto"/>
          <w:sz w:val="22"/>
          <w:szCs w:val="22"/>
        </w:rPr>
        <w:t xml:space="preserve">); e </w:t>
      </w:r>
    </w:p>
    <w:p w14:paraId="5879B52C" w14:textId="77777777" w:rsidR="00675326" w:rsidRPr="006349AC" w:rsidRDefault="00675326" w:rsidP="00675326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9" w:hanging="28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2.</w:t>
      </w:r>
      <w:r>
        <w:rPr>
          <w:rFonts w:ascii="Arial" w:hAnsi="Arial"/>
          <w:color w:val="auto"/>
          <w:sz w:val="22"/>
          <w:szCs w:val="22"/>
        </w:rPr>
        <w:tab/>
        <w:t>la menzione del diritto di compera a favore del Comune di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 (art. 19b LPTC in unione con l'art. 19w cpv. 2 n. 1 LPTC)</w:t>
      </w:r>
    </w:p>
    <w:p w14:paraId="50284F72" w14:textId="77777777"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357CA8EC" w14:textId="77777777" w:rsidR="00675326" w:rsidRPr="006349AC" w:rsidRDefault="00675326" w:rsidP="00675326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sul fondo n.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Comune di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di proprietà [</w:t>
      </w:r>
      <w:r>
        <w:rPr>
          <w:rFonts w:ascii="Arial" w:hAnsi="Arial"/>
          <w:color w:val="auto"/>
          <w:sz w:val="22"/>
          <w:szCs w:val="22"/>
          <w:highlight w:val="lightGray"/>
        </w:rPr>
        <w:t>del signor/della signora …</w:t>
      </w:r>
      <w:r>
        <w:rPr>
          <w:rFonts w:ascii="Arial" w:hAnsi="Arial"/>
          <w:color w:val="auto"/>
          <w:sz w:val="22"/>
          <w:szCs w:val="22"/>
        </w:rPr>
        <w:t>]</w:t>
      </w:r>
    </w:p>
    <w:p w14:paraId="0A693DC7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0273BF2F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L'Ufficio del registro fondiario viene incaricato e autorizzato a procedere immediatamente con la menzione nel registro fondiario.</w:t>
      </w:r>
    </w:p>
    <w:p w14:paraId="2D7A10EB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3EE7CC9C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Luogo</w:t>
      </w:r>
      <w:r>
        <w:rPr>
          <w:rFonts w:ascii="Arial" w:hAnsi="Arial"/>
          <w:color w:val="auto"/>
          <w:sz w:val="22"/>
          <w:szCs w:val="22"/>
        </w:rPr>
        <w:t>], [</w:t>
      </w:r>
      <w:r>
        <w:rPr>
          <w:rFonts w:ascii="Arial" w:hAnsi="Arial"/>
          <w:color w:val="auto"/>
          <w:sz w:val="22"/>
          <w:szCs w:val="22"/>
          <w:highlight w:val="lightGray"/>
        </w:rPr>
        <w:t>data</w:t>
      </w:r>
      <w:r>
        <w:rPr>
          <w:rFonts w:ascii="Arial" w:hAnsi="Arial"/>
          <w:color w:val="auto"/>
          <w:sz w:val="22"/>
          <w:szCs w:val="22"/>
        </w:rPr>
        <w:t>]</w:t>
      </w:r>
    </w:p>
    <w:p w14:paraId="5DA140DB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14:paraId="0E41F6A4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Per il Comune di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 xml:space="preserve">] </w:t>
      </w:r>
    </w:p>
    <w:p w14:paraId="139FA655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6EBCB98F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14:paraId="59278302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……………………………………</w:t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  <w:t>……………………………………</w:t>
      </w:r>
    </w:p>
    <w:p w14:paraId="5BD9B878" w14:textId="77777777" w:rsidR="00675326" w:rsidRPr="006349AC" w:rsidRDefault="00675326" w:rsidP="00675326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nome e funzione</w:t>
      </w:r>
      <w:r>
        <w:rPr>
          <w:rFonts w:ascii="Arial" w:hAnsi="Arial"/>
          <w:color w:val="auto"/>
          <w:sz w:val="22"/>
          <w:szCs w:val="22"/>
        </w:rPr>
        <w:t>]</w:t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nome e funzione</w:t>
      </w:r>
      <w:r>
        <w:rPr>
          <w:rFonts w:ascii="Arial" w:hAnsi="Arial"/>
          <w:color w:val="auto"/>
          <w:sz w:val="22"/>
          <w:szCs w:val="22"/>
        </w:rPr>
        <w:t>]</w:t>
      </w:r>
    </w:p>
    <w:p w14:paraId="4A86BE24" w14:textId="77777777"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2E395028" w14:textId="77777777" w:rsidR="00675326" w:rsidRDefault="00675326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67C4E9A4" w14:textId="77777777" w:rsidR="00B61FBF" w:rsidRPr="006349AC" w:rsidRDefault="00B61FBF" w:rsidP="00675326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084433FD" w14:textId="77777777"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Notificazione per l'iscrizione nel registro fondiario di un obbligo di edificazione stabilito contrattualmente con diritto di compera a favore del Comune (art. 19b LPTC) secondo l'art. 19w cpv. 2 n. 1 LPTC.</w:t>
      </w:r>
    </w:p>
    <w:p w14:paraId="3B8B2A9B" w14:textId="77777777" w:rsidR="00675326" w:rsidRPr="00710656" w:rsidRDefault="00675326" w:rsidP="0067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14:paraId="64EE50E7" w14:textId="77777777" w:rsidR="00B87640" w:rsidRPr="00675326" w:rsidRDefault="00B87640" w:rsidP="00675326"/>
    <w:sectPr w:rsidR="00B87640" w:rsidRPr="00675326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C726" w14:textId="77777777" w:rsidR="00082422" w:rsidRDefault="00082422">
      <w:r>
        <w:separator/>
      </w:r>
    </w:p>
  </w:endnote>
  <w:endnote w:type="continuationSeparator" w:id="0">
    <w:p w14:paraId="646E2C79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4A5C" w14:textId="77777777" w:rsidR="00082422" w:rsidRDefault="00082422">
      <w:r>
        <w:separator/>
      </w:r>
    </w:p>
  </w:footnote>
  <w:footnote w:type="continuationSeparator" w:id="0">
    <w:p w14:paraId="035709E5" w14:textId="77777777" w:rsidR="00082422" w:rsidRDefault="00082422">
      <w:r>
        <w:continuationSeparator/>
      </w:r>
    </w:p>
  </w:footnote>
  <w:footnote w:id="1">
    <w:p w14:paraId="777A9C07" w14:textId="77777777" w:rsidR="00675326" w:rsidRDefault="00675326" w:rsidP="0067532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 xml:space="preserve">Se la notificazione per l'iscrizione nel registro fondiario è già </w:t>
      </w:r>
      <w:proofErr w:type="spellStart"/>
      <w:r>
        <w:rPr>
          <w:sz w:val="18"/>
          <w:szCs w:val="18"/>
        </w:rPr>
        <w:t>inclusa</w:t>
      </w:r>
      <w:proofErr w:type="spellEnd"/>
      <w:r>
        <w:rPr>
          <w:sz w:val="18"/>
          <w:szCs w:val="18"/>
        </w:rPr>
        <w:t xml:space="preserve"> nel contratto (cfr. guida d'applicazione V1), non occorre compilare il presente modulo. In questo caso, il contratto (originale) è sufficiente per le menzioni nel registro fondiario.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5BFF" w14:textId="77777777" w:rsidR="00B87640" w:rsidRPr="00CC64FA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Guida d'applicazione Gb2</w:t>
    </w:r>
  </w:p>
  <w:p w14:paraId="06C5FCB6" w14:textId="0753B9DF" w:rsidR="00B87640" w:rsidRPr="001B3B85" w:rsidRDefault="003917A1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Ufficio per lo sviluppo del territorio dei Grigioni, versione stato </w:t>
    </w:r>
    <w:r w:rsidR="0006222D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0.0</w:t>
    </w:r>
    <w:r w:rsidR="0006222D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.202</w:t>
    </w:r>
    <w:r w:rsidR="0006222D">
      <w:rPr>
        <w:rFonts w:ascii="Arial" w:hAnsi="Arial"/>
        <w:sz w:val="16"/>
        <w:szCs w:val="16"/>
      </w:rPr>
      <w:t>6</w:t>
    </w:r>
  </w:p>
  <w:p w14:paraId="747C98FF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40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670549">
    <w:abstractNumId w:val="3"/>
  </w:num>
  <w:num w:numId="3" w16cid:durableId="1209873131">
    <w:abstractNumId w:val="4"/>
  </w:num>
  <w:num w:numId="4" w16cid:durableId="203062282">
    <w:abstractNumId w:val="17"/>
  </w:num>
  <w:num w:numId="5" w16cid:durableId="398014893">
    <w:abstractNumId w:val="19"/>
  </w:num>
  <w:num w:numId="6" w16cid:durableId="1228036078">
    <w:abstractNumId w:val="23"/>
  </w:num>
  <w:num w:numId="7" w16cid:durableId="907692108">
    <w:abstractNumId w:val="6"/>
  </w:num>
  <w:num w:numId="8" w16cid:durableId="1924484466">
    <w:abstractNumId w:val="2"/>
  </w:num>
  <w:num w:numId="9" w16cid:durableId="17464429">
    <w:abstractNumId w:val="2"/>
  </w:num>
  <w:num w:numId="10" w16cid:durableId="1247030486">
    <w:abstractNumId w:val="14"/>
  </w:num>
  <w:num w:numId="11" w16cid:durableId="734275533">
    <w:abstractNumId w:val="22"/>
  </w:num>
  <w:num w:numId="12" w16cid:durableId="1062368819">
    <w:abstractNumId w:val="8"/>
  </w:num>
  <w:num w:numId="13" w16cid:durableId="1306664750">
    <w:abstractNumId w:val="2"/>
  </w:num>
  <w:num w:numId="14" w16cid:durableId="1174415525">
    <w:abstractNumId w:val="2"/>
  </w:num>
  <w:num w:numId="15" w16cid:durableId="1982997573">
    <w:abstractNumId w:val="11"/>
  </w:num>
  <w:num w:numId="16" w16cid:durableId="1976249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086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142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9796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1278478">
    <w:abstractNumId w:val="21"/>
  </w:num>
  <w:num w:numId="21" w16cid:durableId="1582326155">
    <w:abstractNumId w:val="7"/>
  </w:num>
  <w:num w:numId="22" w16cid:durableId="707098686">
    <w:abstractNumId w:val="21"/>
    <w:lvlOverride w:ilvl="0">
      <w:startOverride w:val="5"/>
    </w:lvlOverride>
  </w:num>
  <w:num w:numId="23" w16cid:durableId="1595164269">
    <w:abstractNumId w:val="15"/>
  </w:num>
  <w:num w:numId="24" w16cid:durableId="161818194">
    <w:abstractNumId w:val="1"/>
  </w:num>
  <w:num w:numId="25" w16cid:durableId="168057757">
    <w:abstractNumId w:val="0"/>
  </w:num>
  <w:num w:numId="26" w16cid:durableId="1806660065">
    <w:abstractNumId w:val="5"/>
  </w:num>
  <w:num w:numId="27" w16cid:durableId="1340081233">
    <w:abstractNumId w:val="10"/>
  </w:num>
  <w:num w:numId="28" w16cid:durableId="551161792">
    <w:abstractNumId w:val="13"/>
  </w:num>
  <w:num w:numId="29" w16cid:durableId="1206332265">
    <w:abstractNumId w:val="12"/>
  </w:num>
  <w:num w:numId="30" w16cid:durableId="156580082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6222D"/>
    <w:rsid w:val="00082422"/>
    <w:rsid w:val="00082DFB"/>
    <w:rsid w:val="00202DC0"/>
    <w:rsid w:val="00235CA5"/>
    <w:rsid w:val="002B5083"/>
    <w:rsid w:val="00323843"/>
    <w:rsid w:val="00324D22"/>
    <w:rsid w:val="003917A1"/>
    <w:rsid w:val="0039271A"/>
    <w:rsid w:val="00393F38"/>
    <w:rsid w:val="003A6E4E"/>
    <w:rsid w:val="003A7B39"/>
    <w:rsid w:val="003D2115"/>
    <w:rsid w:val="003D365A"/>
    <w:rsid w:val="003E299D"/>
    <w:rsid w:val="004468F5"/>
    <w:rsid w:val="0049385D"/>
    <w:rsid w:val="004B3D67"/>
    <w:rsid w:val="004F01DC"/>
    <w:rsid w:val="00572DEF"/>
    <w:rsid w:val="00595F04"/>
    <w:rsid w:val="005A2E75"/>
    <w:rsid w:val="005E2BDA"/>
    <w:rsid w:val="005F3685"/>
    <w:rsid w:val="005F50CD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0019C"/>
    <w:rsid w:val="00710656"/>
    <w:rsid w:val="00781104"/>
    <w:rsid w:val="00805EA5"/>
    <w:rsid w:val="00813EB3"/>
    <w:rsid w:val="008214A1"/>
    <w:rsid w:val="00857CF7"/>
    <w:rsid w:val="00893E86"/>
    <w:rsid w:val="008C1FB6"/>
    <w:rsid w:val="0091730A"/>
    <w:rsid w:val="0097467D"/>
    <w:rsid w:val="009A14B3"/>
    <w:rsid w:val="009D55FF"/>
    <w:rsid w:val="00A5665A"/>
    <w:rsid w:val="00A85872"/>
    <w:rsid w:val="00A86A05"/>
    <w:rsid w:val="00AD466C"/>
    <w:rsid w:val="00AE0CF5"/>
    <w:rsid w:val="00B46B0C"/>
    <w:rsid w:val="00B61FBF"/>
    <w:rsid w:val="00B87640"/>
    <w:rsid w:val="00BD4DF3"/>
    <w:rsid w:val="00C12274"/>
    <w:rsid w:val="00CC64FA"/>
    <w:rsid w:val="00CD23A2"/>
    <w:rsid w:val="00CF10B3"/>
    <w:rsid w:val="00D25AAC"/>
    <w:rsid w:val="00D51084"/>
    <w:rsid w:val="00DC0582"/>
    <w:rsid w:val="00DC1DA1"/>
    <w:rsid w:val="00DF42B4"/>
    <w:rsid w:val="00E3588D"/>
    <w:rsid w:val="00E53802"/>
    <w:rsid w:val="00E5691C"/>
    <w:rsid w:val="00E57083"/>
    <w:rsid w:val="00EB0300"/>
    <w:rsid w:val="00EB48BB"/>
    <w:rsid w:val="00F42F3D"/>
    <w:rsid w:val="00F50D37"/>
    <w:rsid w:val="00F7254F"/>
    <w:rsid w:val="00F80BA5"/>
    <w:rsid w:val="00FB2BDF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EB46D6D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IT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IT" w:eastAsia="de-DE"/>
    </w:rPr>
  </w:style>
  <w:style w:type="paragraph" w:styleId="berarbeitung">
    <w:name w:val="Revision"/>
    <w:hidden/>
    <w:uiPriority w:val="99"/>
    <w:semiHidden/>
    <w:rsid w:val="005F50CD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417F2-AD9A-4E6C-B88A-5F29F7BA7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8AE9-BF77-4396-B91F-A656E0FA8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2d999939-2a46-46d1-8935-28b39244f330"/>
  </ds:schemaRefs>
</ds:datastoreItem>
</file>

<file path=customXml/itemProps3.xml><?xml version="1.0" encoding="utf-8"?>
<ds:datastoreItem xmlns:ds="http://schemas.openxmlformats.org/officeDocument/2006/customXml" ds:itemID="{A754F782-0C34-43EF-B084-03449D626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239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Obbligo contrattuale di edificazione e diritto di compera del Comune (art. 19b LPTC)</vt:lpstr>
    </vt:vector>
  </TitlesOfParts>
  <Company>WinJur AG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contrattuale di edificazione e diritto di compera del Comune (art. 19b LPTC)</dc:title>
  <dc:creator>Corina Caluori</dc:creator>
  <cp:lastModifiedBy>Cadosch Adrian (ARE GR)</cp:lastModifiedBy>
  <cp:revision>5</cp:revision>
  <cp:lastPrinted>2019-12-12T13:42:00Z</cp:lastPrinted>
  <dcterms:created xsi:type="dcterms:W3CDTF">2023-02-01T06:35:00Z</dcterms:created>
  <dcterms:modified xsi:type="dcterms:W3CDTF">2026-03-20T07:06:00Z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2026-02-09T10:19:45Z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0776e2be-3b89-4668-b30a-5c9cdc00a381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