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0D11" w14:textId="77777777" w:rsidR="00675326" w:rsidRPr="006349AC" w:rsidRDefault="00675326" w:rsidP="00750D8A">
      <w:pPr>
        <w:spacing w:line="312" w:lineRule="auto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674B181F" w14:textId="77777777"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675326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5B5AC8">
        <w:rPr>
          <w:rFonts w:ascii="Arial" w:hAnsi="Arial"/>
          <w:b/>
          <w:color w:val="auto"/>
          <w:sz w:val="44"/>
          <w:szCs w:val="44"/>
        </w:rPr>
        <w:br/>
      </w:r>
      <w:r w:rsidR="005B5AC8" w:rsidRPr="005B5AC8">
        <w:rPr>
          <w:rFonts w:ascii="Arial" w:hAnsi="Arial"/>
          <w:color w:val="auto"/>
          <w:sz w:val="32"/>
          <w:szCs w:val="44"/>
        </w:rPr>
        <w:t xml:space="preserve">(für </w:t>
      </w:r>
      <w:r w:rsidR="00815856">
        <w:rPr>
          <w:rFonts w:ascii="Arial" w:hAnsi="Arial"/>
          <w:color w:val="auto"/>
          <w:sz w:val="32"/>
          <w:szCs w:val="44"/>
        </w:rPr>
        <w:t xml:space="preserve">Nachfristansetzung der </w:t>
      </w:r>
      <w:r w:rsidR="005B5AC8" w:rsidRPr="005B5AC8">
        <w:rPr>
          <w:rFonts w:ascii="Arial" w:hAnsi="Arial"/>
          <w:color w:val="auto"/>
          <w:sz w:val="32"/>
          <w:szCs w:val="44"/>
        </w:rPr>
        <w:t xml:space="preserve">Überbauungspflicht </w:t>
      </w:r>
      <w:r w:rsidR="002224F0">
        <w:rPr>
          <w:rFonts w:ascii="Arial" w:hAnsi="Arial"/>
          <w:color w:val="auto"/>
          <w:sz w:val="32"/>
          <w:szCs w:val="44"/>
        </w:rPr>
        <w:br/>
      </w:r>
      <w:r w:rsidR="005B5AC8" w:rsidRPr="005B5AC8">
        <w:rPr>
          <w:rFonts w:ascii="Arial" w:hAnsi="Arial"/>
          <w:color w:val="auto"/>
          <w:sz w:val="32"/>
          <w:szCs w:val="44"/>
        </w:rPr>
        <w:t>bei Ein</w:t>
      </w:r>
      <w:r w:rsidR="002224F0">
        <w:rPr>
          <w:rFonts w:ascii="Arial" w:hAnsi="Arial"/>
          <w:color w:val="auto"/>
          <w:sz w:val="32"/>
          <w:szCs w:val="44"/>
        </w:rPr>
        <w:t>-</w:t>
      </w:r>
      <w:r w:rsidR="00FB5DA8">
        <w:rPr>
          <w:rFonts w:ascii="Arial" w:hAnsi="Arial"/>
          <w:color w:val="auto"/>
          <w:sz w:val="32"/>
          <w:szCs w:val="44"/>
        </w:rPr>
        <w:t>, Um</w:t>
      </w:r>
      <w:r w:rsidR="002224F0">
        <w:rPr>
          <w:rFonts w:ascii="Arial" w:hAnsi="Arial"/>
          <w:color w:val="auto"/>
          <w:sz w:val="32"/>
          <w:szCs w:val="44"/>
        </w:rPr>
        <w:t>-</w:t>
      </w:r>
      <w:r w:rsidR="00FB5DA8">
        <w:rPr>
          <w:rFonts w:ascii="Arial" w:hAnsi="Arial"/>
          <w:color w:val="auto"/>
          <w:sz w:val="32"/>
          <w:szCs w:val="44"/>
        </w:rPr>
        <w:t xml:space="preserve"> oder </w:t>
      </w:r>
      <w:proofErr w:type="spellStart"/>
      <w:r w:rsidR="00FB5DA8">
        <w:rPr>
          <w:rFonts w:ascii="Arial" w:hAnsi="Arial"/>
          <w:color w:val="auto"/>
          <w:sz w:val="32"/>
          <w:szCs w:val="44"/>
        </w:rPr>
        <w:t>Aufzonung</w:t>
      </w:r>
      <w:r w:rsidR="00815856">
        <w:rPr>
          <w:rFonts w:ascii="Arial" w:hAnsi="Arial"/>
          <w:color w:val="auto"/>
          <w:sz w:val="32"/>
          <w:szCs w:val="44"/>
        </w:rPr>
        <w:t>en</w:t>
      </w:r>
      <w:proofErr w:type="spellEnd"/>
      <w:r w:rsidR="005B5AC8" w:rsidRPr="005B5AC8">
        <w:rPr>
          <w:rFonts w:ascii="Arial" w:hAnsi="Arial"/>
          <w:color w:val="auto"/>
          <w:sz w:val="32"/>
          <w:szCs w:val="44"/>
        </w:rPr>
        <w:t>)</w:t>
      </w:r>
    </w:p>
    <w:p w14:paraId="46E93A06" w14:textId="77777777"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7C63CD12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1BBF240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14:paraId="0ED5D705" w14:textId="77777777" w:rsidR="00A23021" w:rsidRDefault="000C3CDD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Rechtskräftige Verfügung der Gemeinde</w:t>
      </w:r>
      <w:r w:rsidR="00A23021">
        <w:rPr>
          <w:rFonts w:ascii="Arial" w:hAnsi="Arial" w:cs="Arial"/>
          <w:sz w:val="22"/>
          <w:szCs w:val="22"/>
        </w:rPr>
        <w:t xml:space="preserve"> [</w:t>
      </w:r>
      <w:r w:rsidR="00A23021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A23021">
        <w:rPr>
          <w:rFonts w:ascii="Arial" w:hAnsi="Arial" w:cs="Arial"/>
          <w:sz w:val="22"/>
          <w:szCs w:val="22"/>
        </w:rPr>
        <w:t>] vom [</w:t>
      </w:r>
      <w:r w:rsidR="00A23021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A23021">
        <w:rPr>
          <w:rFonts w:ascii="Arial" w:hAnsi="Arial" w:cs="Arial"/>
          <w:sz w:val="22"/>
          <w:szCs w:val="22"/>
        </w:rPr>
        <w:t>] in Sachen [</w:t>
      </w:r>
      <w:r w:rsidR="00815856">
        <w:rPr>
          <w:rFonts w:ascii="Arial" w:hAnsi="Arial" w:cs="Arial"/>
          <w:sz w:val="22"/>
          <w:szCs w:val="22"/>
          <w:highlight w:val="lightGray"/>
        </w:rPr>
        <w:t>Nachfristansetzung gemäss</w:t>
      </w:r>
      <w:r w:rsidR="00A23021" w:rsidRPr="004468F5">
        <w:rPr>
          <w:rFonts w:ascii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Art. 19d Abs. 2 Ziff. 2 KRG</w:t>
      </w:r>
      <w:r w:rsidR="00A23021">
        <w:rPr>
          <w:rFonts w:ascii="Arial" w:hAnsi="Arial" w:cs="Arial"/>
          <w:sz w:val="22"/>
          <w:szCs w:val="22"/>
        </w:rPr>
        <w:t xml:space="preserve">], </w:t>
      </w:r>
    </w:p>
    <w:p w14:paraId="3CA69051" w14:textId="77777777"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5CFB416D" w14:textId="09AADDF3"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 w:rsidR="000C3CDD">
        <w:rPr>
          <w:rFonts w:ascii="Arial" w:hAnsi="Arial" w:cs="Arial"/>
          <w:sz w:val="22"/>
          <w:szCs w:val="22"/>
        </w:rPr>
        <w:t xml:space="preserve">Nachfrist </w:t>
      </w:r>
      <w:r w:rsidR="00294630">
        <w:rPr>
          <w:rFonts w:ascii="Arial" w:hAnsi="Arial" w:cs="Arial"/>
          <w:color w:val="auto"/>
          <w:sz w:val="22"/>
          <w:szCs w:val="22"/>
        </w:rPr>
        <w:t xml:space="preserve">zwecks Erfüllung der Bauverpflichtung </w:t>
      </w:r>
      <w:r w:rsidR="00294630">
        <w:rPr>
          <w:rFonts w:ascii="Arial" w:hAnsi="Arial" w:cs="Arial"/>
          <w:sz w:val="22"/>
          <w:szCs w:val="22"/>
        </w:rPr>
        <w:t>(</w:t>
      </w:r>
      <w:r w:rsidR="000C3CDD" w:rsidRPr="000C3CDD">
        <w:rPr>
          <w:rFonts w:ascii="Arial" w:hAnsi="Arial" w:cs="Arial"/>
          <w:sz w:val="22"/>
          <w:szCs w:val="22"/>
        </w:rPr>
        <w:t>Art. 19d Abs. 2 Ziff. 2 KRG</w:t>
      </w:r>
      <w:r w:rsidR="00294630" w:rsidRPr="0029463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94630">
        <w:rPr>
          <w:rFonts w:ascii="Arial" w:hAnsi="Arial" w:cs="Arial"/>
          <w:color w:val="auto"/>
          <w:sz w:val="22"/>
          <w:szCs w:val="22"/>
        </w:rPr>
        <w:t>i.V.m</w:t>
      </w:r>
      <w:proofErr w:type="spellEnd"/>
      <w:r w:rsidR="00294630">
        <w:rPr>
          <w:rFonts w:ascii="Arial" w:hAnsi="Arial" w:cs="Arial"/>
          <w:color w:val="auto"/>
          <w:sz w:val="22"/>
          <w:szCs w:val="22"/>
        </w:rPr>
        <w:t>. Art. 19w Abs. 2 Ziff. 3</w:t>
      </w:r>
      <w:r w:rsidR="00294630" w:rsidRPr="006349AC">
        <w:rPr>
          <w:rFonts w:ascii="Arial" w:hAnsi="Arial" w:cs="Arial"/>
          <w:color w:val="auto"/>
          <w:sz w:val="22"/>
          <w:szCs w:val="22"/>
        </w:rPr>
        <w:t xml:space="preserve"> KRG</w:t>
      </w:r>
      <w:r w:rsidR="00F41FB0">
        <w:rPr>
          <w:rFonts w:ascii="Arial" w:hAnsi="Arial" w:cs="Arial"/>
          <w:sz w:val="22"/>
          <w:szCs w:val="22"/>
        </w:rPr>
        <w:t>)</w:t>
      </w:r>
      <w:r w:rsidR="001109F9" w:rsidRPr="000C3CDD">
        <w:rPr>
          <w:rFonts w:ascii="Arial" w:hAnsi="Arial" w:cs="Arial"/>
          <w:sz w:val="22"/>
          <w:szCs w:val="22"/>
        </w:rPr>
        <w:t xml:space="preserve"> </w:t>
      </w:r>
    </w:p>
    <w:p w14:paraId="2E09CFCF" w14:textId="77777777"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4976108A" w14:textId="77777777" w:rsidR="00A23021" w:rsidRPr="00E57083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14:paraId="51655DE4" w14:textId="77777777"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38CFD2EA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Das Grundbuchamt wird beauftragt und ermächtigt, die Anmerkung grundbuchlich unmittelbar zu vollziehen.</w:t>
      </w:r>
    </w:p>
    <w:p w14:paraId="17DB21BE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4CAA3B7B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14:paraId="39B8C622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0095E823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14:paraId="11F73BC4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54BC98C2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623D258D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ED676ED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14:paraId="649D40BB" w14:textId="77777777"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FC92F94" w14:textId="77777777"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für die </w:t>
      </w:r>
      <w:r w:rsidR="00294630">
        <w:rPr>
          <w:rFonts w:ascii="Arial" w:eastAsiaTheme="minorHAnsi" w:hAnsi="Arial" w:cs="Arial"/>
          <w:sz w:val="22"/>
          <w:szCs w:val="22"/>
          <w:lang w:eastAsia="en-US"/>
        </w:rPr>
        <w:t>Nachfristen gemäss Art. 19d Abs. 2 Ziff. 2 KRG</w:t>
      </w:r>
      <w:r w:rsidR="009E2A7C"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94630">
        <w:rPr>
          <w:rFonts w:ascii="Arial" w:eastAsiaTheme="minorHAnsi" w:hAnsi="Arial" w:cs="Arial"/>
          <w:sz w:val="22"/>
          <w:szCs w:val="22"/>
          <w:lang w:eastAsia="en-US"/>
        </w:rPr>
        <w:t>nach Art. 19w Abs. 2 Ziff. 3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 xml:space="preserve"> KRG</w:t>
      </w:r>
      <w:r w:rsidRPr="00A2302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4334550" w14:textId="77777777"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</w:t>
      </w:r>
      <w:r w:rsidR="00750D8A">
        <w:rPr>
          <w:rFonts w:ascii="Arial" w:eastAsiaTheme="minorHAnsi" w:hAnsi="Arial" w:cs="Arial"/>
          <w:sz w:val="22"/>
          <w:szCs w:val="22"/>
          <w:lang w:eastAsia="en-US"/>
        </w:rPr>
        <w:t>Sie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14:paraId="1DF6F458" w14:textId="77777777"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8D8" w14:textId="77777777" w:rsidR="005B16BA" w:rsidRDefault="005B16BA">
      <w:r>
        <w:separator/>
      </w:r>
    </w:p>
  </w:endnote>
  <w:endnote w:type="continuationSeparator" w:id="0">
    <w:p w14:paraId="0341F695" w14:textId="77777777" w:rsidR="005B16BA" w:rsidRDefault="005B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3B25" w14:textId="77777777" w:rsidR="005B16BA" w:rsidRDefault="005B16BA">
      <w:r>
        <w:separator/>
      </w:r>
    </w:p>
  </w:footnote>
  <w:footnote w:type="continuationSeparator" w:id="0">
    <w:p w14:paraId="374363A7" w14:textId="77777777" w:rsidR="005B16BA" w:rsidRDefault="005B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A784" w14:textId="77777777" w:rsidR="000C3CDD" w:rsidRPr="005B5AC8" w:rsidRDefault="000C3CDD" w:rsidP="000C3C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>
      <w:rPr>
        <w:rFonts w:ascii="Arial" w:eastAsiaTheme="minorHAnsi" w:hAnsi="Arial" w:cs="Arial"/>
        <w:b/>
        <w:szCs w:val="16"/>
        <w:lang w:eastAsia="en-US"/>
      </w:rPr>
      <w:t>Vollzugshilfe Gb5</w:t>
    </w:r>
  </w:p>
  <w:p w14:paraId="34411E8E" w14:textId="393146A6"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A07EFB">
      <w:rPr>
        <w:rFonts w:ascii="Arial" w:eastAsiaTheme="minorHAnsi" w:hAnsi="Arial" w:cs="Arial"/>
        <w:sz w:val="16"/>
        <w:szCs w:val="16"/>
        <w:lang w:eastAsia="en-US"/>
      </w:rPr>
      <w:t>20</w:t>
    </w:r>
    <w:r w:rsidR="00815856">
      <w:rPr>
        <w:rFonts w:ascii="Arial" w:eastAsiaTheme="minorHAnsi" w:hAnsi="Arial" w:cs="Arial"/>
        <w:sz w:val="16"/>
        <w:szCs w:val="16"/>
        <w:lang w:eastAsia="en-US"/>
      </w:rPr>
      <w:t>.0</w:t>
    </w:r>
    <w:r w:rsidR="00A07EFB">
      <w:rPr>
        <w:rFonts w:ascii="Arial" w:eastAsiaTheme="minorHAnsi" w:hAnsi="Arial" w:cs="Arial"/>
        <w:sz w:val="16"/>
        <w:szCs w:val="16"/>
        <w:lang w:eastAsia="en-US"/>
      </w:rPr>
      <w:t>2</w:t>
    </w:r>
    <w:r w:rsidR="00815856">
      <w:rPr>
        <w:rFonts w:ascii="Arial" w:eastAsiaTheme="minorHAnsi" w:hAnsi="Arial" w:cs="Arial"/>
        <w:sz w:val="16"/>
        <w:szCs w:val="16"/>
        <w:lang w:eastAsia="en-US"/>
      </w:rPr>
      <w:t>.</w:t>
    </w:r>
    <w:r>
      <w:rPr>
        <w:rFonts w:ascii="Arial" w:eastAsiaTheme="minorHAnsi" w:hAnsi="Arial" w:cs="Arial"/>
        <w:sz w:val="16"/>
        <w:szCs w:val="16"/>
        <w:lang w:eastAsia="en-US"/>
      </w:rPr>
      <w:t>202</w:t>
    </w:r>
    <w:r w:rsidR="00A07EFB">
      <w:rPr>
        <w:rFonts w:ascii="Arial" w:eastAsiaTheme="minorHAnsi" w:hAnsi="Arial" w:cs="Arial"/>
        <w:sz w:val="16"/>
        <w:szCs w:val="16"/>
        <w:lang w:eastAsia="en-US"/>
      </w:rPr>
      <w:t>6</w:t>
    </w:r>
  </w:p>
  <w:p w14:paraId="413DED3A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63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583908">
    <w:abstractNumId w:val="3"/>
  </w:num>
  <w:num w:numId="3" w16cid:durableId="509758931">
    <w:abstractNumId w:val="4"/>
  </w:num>
  <w:num w:numId="4" w16cid:durableId="74673620">
    <w:abstractNumId w:val="17"/>
  </w:num>
  <w:num w:numId="5" w16cid:durableId="1619986289">
    <w:abstractNumId w:val="19"/>
  </w:num>
  <w:num w:numId="6" w16cid:durableId="1600988481">
    <w:abstractNumId w:val="23"/>
  </w:num>
  <w:num w:numId="7" w16cid:durableId="999893237">
    <w:abstractNumId w:val="6"/>
  </w:num>
  <w:num w:numId="8" w16cid:durableId="1620643072">
    <w:abstractNumId w:val="2"/>
  </w:num>
  <w:num w:numId="9" w16cid:durableId="1962566219">
    <w:abstractNumId w:val="2"/>
  </w:num>
  <w:num w:numId="10" w16cid:durableId="736321045">
    <w:abstractNumId w:val="14"/>
  </w:num>
  <w:num w:numId="11" w16cid:durableId="1901204629">
    <w:abstractNumId w:val="22"/>
  </w:num>
  <w:num w:numId="12" w16cid:durableId="31080129">
    <w:abstractNumId w:val="8"/>
  </w:num>
  <w:num w:numId="13" w16cid:durableId="1655068063">
    <w:abstractNumId w:val="2"/>
  </w:num>
  <w:num w:numId="14" w16cid:durableId="968627090">
    <w:abstractNumId w:val="2"/>
  </w:num>
  <w:num w:numId="15" w16cid:durableId="2106068032">
    <w:abstractNumId w:val="11"/>
  </w:num>
  <w:num w:numId="16" w16cid:durableId="162203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371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97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399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588445">
    <w:abstractNumId w:val="21"/>
  </w:num>
  <w:num w:numId="21" w16cid:durableId="80030633">
    <w:abstractNumId w:val="7"/>
  </w:num>
  <w:num w:numId="22" w16cid:durableId="224537768">
    <w:abstractNumId w:val="21"/>
    <w:lvlOverride w:ilvl="0">
      <w:startOverride w:val="5"/>
    </w:lvlOverride>
  </w:num>
  <w:num w:numId="23" w16cid:durableId="1906987677">
    <w:abstractNumId w:val="15"/>
  </w:num>
  <w:num w:numId="24" w16cid:durableId="907765910">
    <w:abstractNumId w:val="1"/>
  </w:num>
  <w:num w:numId="25" w16cid:durableId="972642273">
    <w:abstractNumId w:val="0"/>
  </w:num>
  <w:num w:numId="26" w16cid:durableId="590359585">
    <w:abstractNumId w:val="5"/>
  </w:num>
  <w:num w:numId="27" w16cid:durableId="1283462454">
    <w:abstractNumId w:val="10"/>
  </w:num>
  <w:num w:numId="28" w16cid:durableId="525482485">
    <w:abstractNumId w:val="13"/>
  </w:num>
  <w:num w:numId="29" w16cid:durableId="1141115817">
    <w:abstractNumId w:val="12"/>
  </w:num>
  <w:num w:numId="30" w16cid:durableId="661006302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0C3CDD"/>
    <w:rsid w:val="001109F9"/>
    <w:rsid w:val="00202DC0"/>
    <w:rsid w:val="002224F0"/>
    <w:rsid w:val="00290B7E"/>
    <w:rsid w:val="00292F8B"/>
    <w:rsid w:val="00294630"/>
    <w:rsid w:val="002B5083"/>
    <w:rsid w:val="002D3FA6"/>
    <w:rsid w:val="00323843"/>
    <w:rsid w:val="00324D22"/>
    <w:rsid w:val="0039271A"/>
    <w:rsid w:val="00393F3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A630D"/>
    <w:rsid w:val="005B16BA"/>
    <w:rsid w:val="005B5AC8"/>
    <w:rsid w:val="005E2BDA"/>
    <w:rsid w:val="005F3685"/>
    <w:rsid w:val="00601367"/>
    <w:rsid w:val="00605193"/>
    <w:rsid w:val="006349AC"/>
    <w:rsid w:val="0067130D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50D8A"/>
    <w:rsid w:val="007D08E2"/>
    <w:rsid w:val="00815856"/>
    <w:rsid w:val="008214A1"/>
    <w:rsid w:val="008230E3"/>
    <w:rsid w:val="00893E86"/>
    <w:rsid w:val="008C1FB6"/>
    <w:rsid w:val="0091730A"/>
    <w:rsid w:val="00961231"/>
    <w:rsid w:val="0097467D"/>
    <w:rsid w:val="009A14B3"/>
    <w:rsid w:val="009D55FF"/>
    <w:rsid w:val="009E2A7C"/>
    <w:rsid w:val="00A05C9B"/>
    <w:rsid w:val="00A07EFB"/>
    <w:rsid w:val="00A23021"/>
    <w:rsid w:val="00A85872"/>
    <w:rsid w:val="00A86A05"/>
    <w:rsid w:val="00A9033F"/>
    <w:rsid w:val="00AB223C"/>
    <w:rsid w:val="00AC359C"/>
    <w:rsid w:val="00AD466C"/>
    <w:rsid w:val="00AE0CF5"/>
    <w:rsid w:val="00B46B0C"/>
    <w:rsid w:val="00B61FBF"/>
    <w:rsid w:val="00B87640"/>
    <w:rsid w:val="00B94E63"/>
    <w:rsid w:val="00BC0225"/>
    <w:rsid w:val="00BC37B8"/>
    <w:rsid w:val="00C12274"/>
    <w:rsid w:val="00C4121D"/>
    <w:rsid w:val="00CD23A2"/>
    <w:rsid w:val="00CF10B3"/>
    <w:rsid w:val="00CF1FE9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321E9"/>
    <w:rsid w:val="00F41FB0"/>
    <w:rsid w:val="00F42F3D"/>
    <w:rsid w:val="00F50D37"/>
    <w:rsid w:val="00F80BA5"/>
    <w:rsid w:val="00FB5DA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0797912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paragraph" w:styleId="berarbeitung">
    <w:name w:val="Revision"/>
    <w:hidden/>
    <w:uiPriority w:val="99"/>
    <w:semiHidden/>
    <w:rsid w:val="002D3FA6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B46EB-BC2F-4E67-868F-C95FC494F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BBA4F-8131-4ACC-94AC-4E23D07D11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3.xml><?xml version="1.0" encoding="utf-8"?>
<ds:datastoreItem xmlns:ds="http://schemas.openxmlformats.org/officeDocument/2006/customXml" ds:itemID="{652D4627-2D6A-407B-842A-2852AB827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467A1-5DB1-4499-9D26-3288B5A8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167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Gesetzliche Überbauungspflicht bei Einzonung (Art. 19c KRG)</vt:lpstr>
    </vt:vector>
  </TitlesOfParts>
  <Company>WinJur AG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Gesetzliche Überbauungspflicht bei Einzonung (Art. 19c KRG)</dc:title>
  <dc:creator>Corina Caluori</dc:creator>
  <cp:lastModifiedBy>Cadosch Adrian (ARE GR)</cp:lastModifiedBy>
  <cp:revision>7</cp:revision>
  <cp:lastPrinted>2019-12-12T13:42:00Z</cp:lastPrinted>
  <dcterms:created xsi:type="dcterms:W3CDTF">2026-02-06T13:18:00Z</dcterms:created>
  <dcterms:modified xsi:type="dcterms:W3CDTF">2026-03-20T07:03:00Z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2026-02-06T13:18:02Z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82bb9e7e-cc57-4825-a167-4ac8f7ee69a5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