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8" w:rsidRDefault="009C34F8" w:rsidP="009C34F8">
      <w:pPr>
        <w:rPr>
          <w:b/>
        </w:rPr>
      </w:pPr>
      <w:r>
        <w:rPr>
          <w:b/>
        </w:rPr>
        <w:t>Fondsreglement Mehrwertausgleich</w:t>
      </w:r>
      <w:r>
        <w:rPr>
          <w:rStyle w:val="Funotenzeichen"/>
          <w:b/>
        </w:rPr>
        <w:footnoteReference w:id="1"/>
      </w:r>
    </w:p>
    <w:p w:rsidR="009C34F8" w:rsidRDefault="009C34F8" w:rsidP="009C34F8">
      <w:pPr>
        <w:rPr>
          <w:sz w:val="21"/>
          <w:szCs w:val="21"/>
        </w:rPr>
      </w:pPr>
      <w:r w:rsidRPr="009C34F8">
        <w:rPr>
          <w:sz w:val="21"/>
          <w:szCs w:val="21"/>
        </w:rPr>
        <w:t>Beschlossen von den Stimmberechtigten / der Gemeindeversammlung am …</w:t>
      </w:r>
    </w:p>
    <w:p w:rsidR="00C219D8" w:rsidRDefault="00C219D8" w:rsidP="009C34F8">
      <w:pPr>
        <w:rPr>
          <w:sz w:val="21"/>
          <w:szCs w:val="21"/>
        </w:rPr>
      </w:pPr>
      <w:r>
        <w:rPr>
          <w:sz w:val="21"/>
          <w:szCs w:val="21"/>
        </w:rPr>
        <w:t xml:space="preserve">In Kraft </w:t>
      </w:r>
      <w:proofErr w:type="gramStart"/>
      <w:r>
        <w:rPr>
          <w:sz w:val="21"/>
          <w:szCs w:val="21"/>
        </w:rPr>
        <w:t>seit dem</w:t>
      </w:r>
      <w:proofErr w:type="gramEnd"/>
      <w:r>
        <w:rPr>
          <w:sz w:val="21"/>
          <w:szCs w:val="21"/>
        </w:rPr>
        <w:t xml:space="preserve"> …</w:t>
      </w:r>
      <w:bookmarkStart w:id="0" w:name="_GoBack"/>
      <w:bookmarkEnd w:id="0"/>
    </w:p>
    <w:p w:rsidR="00C219D8" w:rsidRDefault="00C219D8" w:rsidP="009C34F8">
      <w:pPr>
        <w:rPr>
          <w:sz w:val="21"/>
          <w:szCs w:val="21"/>
        </w:rPr>
      </w:pPr>
    </w:p>
    <w:p w:rsidR="009C34F8" w:rsidRDefault="009C34F8" w:rsidP="009C34F8">
      <w:pPr>
        <w:rPr>
          <w:sz w:val="21"/>
          <w:szCs w:val="21"/>
        </w:rPr>
        <w:sectPr w:rsidR="009C34F8" w:rsidSect="006F6B93">
          <w:headerReference w:type="default" r:id="rId10"/>
          <w:headerReference w:type="first" r:id="rId11"/>
          <w:pgSz w:w="11906" w:h="16838" w:code="9"/>
          <w:pgMar w:top="1701" w:right="1701" w:bottom="1701" w:left="1701" w:header="851" w:footer="567" w:gutter="0"/>
          <w:paperSrc w:first="261" w:other="261"/>
          <w:cols w:space="720"/>
          <w:titlePg/>
        </w:sectPr>
      </w:pPr>
    </w:p>
    <w:p w:rsidR="009C34F8" w:rsidRPr="009C34F8" w:rsidRDefault="009C34F8" w:rsidP="009C34F8">
      <w:pPr>
        <w:rPr>
          <w:sz w:val="21"/>
          <w:szCs w:val="21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9C34F8" w:rsidRPr="00C219D8" w:rsidTr="00A821ED">
        <w:tc>
          <w:tcPr>
            <w:tcW w:w="6237" w:type="dxa"/>
            <w:tcBorders>
              <w:right w:val="single" w:sz="4" w:space="0" w:color="auto"/>
            </w:tcBorders>
          </w:tcPr>
          <w:p w:rsidR="009C34F8" w:rsidRDefault="009C34F8" w:rsidP="009C34F8">
            <w:pPr>
              <w:pStyle w:val="berschrift1Gesetz"/>
              <w:keepNext w:val="0"/>
              <w:contextualSpacing w:val="0"/>
            </w:pPr>
            <w:r w:rsidRPr="00961F3F">
              <w:t xml:space="preserve">I. </w:t>
            </w:r>
            <w:r w:rsidRPr="00961F3F">
              <w:tab/>
              <w:t>Allgemeines</w:t>
            </w:r>
          </w:p>
          <w:p w:rsidR="009C34F8" w:rsidRPr="005F589F" w:rsidRDefault="009C34F8" w:rsidP="005F45B5">
            <w:pPr>
              <w:pStyle w:val="Formatvorlageberschrift3GesetzVor9Pt"/>
            </w:pPr>
            <w:r w:rsidRPr="005F589F">
              <w:t>Art. 1</w:t>
            </w:r>
            <w:r w:rsidRPr="005F589F">
              <w:tab/>
            </w:r>
            <w:r>
              <w:t>Zweck</w:t>
            </w:r>
          </w:p>
          <w:p w:rsidR="005F45B5" w:rsidRDefault="009C34F8" w:rsidP="005F45B5">
            <w:pPr>
              <w:pStyle w:val="TextGesetz"/>
            </w:pPr>
            <w:r w:rsidRPr="00185CA9">
              <w:rPr>
                <w:vertAlign w:val="superscript"/>
              </w:rPr>
              <w:t>1</w:t>
            </w:r>
            <w:r w:rsidRPr="00261584">
              <w:t xml:space="preserve"> </w:t>
            </w:r>
            <w:r w:rsidR="005F45B5">
              <w:t>Die Gemeinde führt zur Bewirtschaftung der Mehrwertabgabe eine Spezialfinanzierung gemäss den Bestimmungen der kantonalen Finanzhaushaltsgesetzgebung und der dazugehörigen Verordnung.</w:t>
            </w:r>
          </w:p>
          <w:p w:rsidR="005F45B5" w:rsidRDefault="005F45B5" w:rsidP="005F45B5">
            <w:pPr>
              <w:pStyle w:val="TextGesetz"/>
            </w:pPr>
            <w:r>
              <w:rPr>
                <w:vertAlign w:val="superscript"/>
              </w:rPr>
              <w:t xml:space="preserve">2 </w:t>
            </w:r>
            <w:r>
              <w:t>Dieses Gesetz regelt die kommunale Spezialfinanzierung, insbesondere deren Verwendungszwecke sowie die Ausgabenkompetenzen</w:t>
            </w:r>
            <w:r w:rsidR="00EF3C75">
              <w:t>,</w:t>
            </w:r>
            <w:r>
              <w:t xml:space="preserve"> näher.</w:t>
            </w:r>
          </w:p>
          <w:p w:rsidR="005F45B5" w:rsidRDefault="005F45B5" w:rsidP="005F45B5">
            <w:pPr>
              <w:pStyle w:val="berschrift1Gesetz"/>
              <w:keepNext w:val="0"/>
              <w:contextualSpacing w:val="0"/>
            </w:pPr>
            <w:r>
              <w:t>I</w:t>
            </w:r>
            <w:r w:rsidRPr="00961F3F">
              <w:t xml:space="preserve">I. </w:t>
            </w:r>
            <w:r w:rsidRPr="00961F3F">
              <w:tab/>
            </w:r>
            <w:r w:rsidR="00E63247">
              <w:t>Spezialfinanzierung</w:t>
            </w:r>
          </w:p>
          <w:p w:rsidR="005F45B5" w:rsidRDefault="005F45B5" w:rsidP="005F45B5">
            <w:pPr>
              <w:pStyle w:val="berschrift3Gesetz"/>
            </w:pPr>
            <w:r>
              <w:t>Art. 2</w:t>
            </w:r>
            <w:r>
              <w:tab/>
            </w:r>
            <w:r w:rsidR="000140A8">
              <w:t>Finanzierung</w:t>
            </w:r>
          </w:p>
          <w:p w:rsidR="005F45B5" w:rsidRPr="000140A8" w:rsidRDefault="005F45B5" w:rsidP="000140A8">
            <w:pPr>
              <w:pStyle w:val="TextGesetz"/>
            </w:pPr>
            <w:r w:rsidRPr="000140A8">
              <w:rPr>
                <w:vertAlign w:val="superscript"/>
              </w:rPr>
              <w:t>1</w:t>
            </w:r>
            <w:r w:rsidRPr="000140A8">
              <w:t xml:space="preserve"> Die Spezialfinanzierung wird </w:t>
            </w:r>
            <w:proofErr w:type="spellStart"/>
            <w:r w:rsidRPr="000140A8">
              <w:t>geäufnet</w:t>
            </w:r>
            <w:proofErr w:type="spellEnd"/>
            <w:r w:rsidRPr="000140A8">
              <w:t xml:space="preserve"> durch sämtliche der Gemeinde zufallenden Erträge aus der Mehrwertabgabe. </w:t>
            </w:r>
          </w:p>
          <w:p w:rsidR="000140A8" w:rsidRPr="000140A8" w:rsidRDefault="005F45B5" w:rsidP="000140A8">
            <w:pPr>
              <w:pStyle w:val="TextGesetz"/>
            </w:pPr>
            <w:r w:rsidRPr="000140A8">
              <w:rPr>
                <w:vertAlign w:val="superscript"/>
              </w:rPr>
              <w:t>2</w:t>
            </w:r>
            <w:r w:rsidRPr="000140A8">
              <w:t xml:space="preserve"> Eine Verschuldung der Spezialfinanzierung ist nicht zulässig.</w:t>
            </w:r>
          </w:p>
          <w:p w:rsidR="005F45B5" w:rsidRPr="000140A8" w:rsidRDefault="000140A8" w:rsidP="000140A8">
            <w:pPr>
              <w:pStyle w:val="TextGesetz"/>
            </w:pPr>
            <w:r w:rsidRPr="000140A8">
              <w:rPr>
                <w:vertAlign w:val="superscript"/>
              </w:rPr>
              <w:t>3</w:t>
            </w:r>
            <w:r w:rsidRPr="000140A8">
              <w:t xml:space="preserve"> </w:t>
            </w:r>
            <w:r w:rsidR="005F45B5" w:rsidRPr="000140A8">
              <w:t xml:space="preserve">Die Verzinsung erfolgt nach </w:t>
            </w:r>
            <w:proofErr w:type="spellStart"/>
            <w:r w:rsidR="005F45B5" w:rsidRPr="000140A8">
              <w:t>Massgabe</w:t>
            </w:r>
            <w:proofErr w:type="spellEnd"/>
            <w:r w:rsidR="005F45B5" w:rsidRPr="000140A8">
              <w:t xml:space="preserve"> von Art. 17 Finanzhaushaltsverordnung für die Gemeinden</w:t>
            </w:r>
            <w:r w:rsidRPr="000140A8">
              <w:t>.</w:t>
            </w:r>
          </w:p>
          <w:p w:rsidR="000140A8" w:rsidRDefault="000140A8" w:rsidP="000140A8">
            <w:pPr>
              <w:pStyle w:val="berschrift3Gesetz"/>
            </w:pPr>
            <w:r>
              <w:t>Art. 3</w:t>
            </w:r>
            <w:r>
              <w:tab/>
              <w:t>Verwendungszweck</w:t>
            </w:r>
          </w:p>
          <w:p w:rsidR="000140A8" w:rsidRDefault="000140A8" w:rsidP="000140A8">
            <w:pPr>
              <w:pStyle w:val="TextGesetz"/>
            </w:pPr>
            <w:r>
              <w:rPr>
                <w:vertAlign w:val="superscript"/>
              </w:rPr>
              <w:t xml:space="preserve">1 </w:t>
            </w:r>
            <w:r>
              <w:t xml:space="preserve">Die Mittel sind </w:t>
            </w:r>
            <w:r w:rsidR="001F2513">
              <w:t>gemäss Artikel 19r</w:t>
            </w:r>
            <w:r>
              <w:t xml:space="preserve"> Abs. 1 </w:t>
            </w:r>
            <w:r w:rsidR="00C74205">
              <w:t xml:space="preserve">kantonales Raumplanungsgesetz zu </w:t>
            </w:r>
            <w:r w:rsidR="002E103C">
              <w:t>verwenden:</w:t>
            </w:r>
          </w:p>
          <w:p w:rsidR="002E103C" w:rsidRDefault="002E103C" w:rsidP="002E103C">
            <w:pPr>
              <w:pStyle w:val="TextGesetz"/>
              <w:numPr>
                <w:ilvl w:val="0"/>
                <w:numId w:val="23"/>
              </w:numPr>
            </w:pPr>
            <w:r>
              <w:t xml:space="preserve">In erster Linie für </w:t>
            </w:r>
            <w:proofErr w:type="spellStart"/>
            <w:r>
              <w:t>Auszonungskosten</w:t>
            </w:r>
            <w:proofErr w:type="spellEnd"/>
            <w:r>
              <w:t xml:space="preserve"> gemäss Artikel 19q Absatz 3 und Artikel 19u des kantonalen Raumplanungsgesetzes;</w:t>
            </w:r>
          </w:p>
          <w:p w:rsidR="002E103C" w:rsidRDefault="002E103C" w:rsidP="002E103C">
            <w:pPr>
              <w:pStyle w:val="TextGesetz"/>
              <w:numPr>
                <w:ilvl w:val="0"/>
                <w:numId w:val="23"/>
              </w:numPr>
            </w:pPr>
            <w:r>
              <w:lastRenderedPageBreak/>
              <w:t>In zweiter Linie für die Verwaltungskosten im Zusammenhang mit der Veranlagung und dem Bezug der Mehrwertabgabe;</w:t>
            </w:r>
          </w:p>
          <w:p w:rsidR="002E103C" w:rsidRDefault="002E103C" w:rsidP="002E103C">
            <w:pPr>
              <w:pStyle w:val="TextGesetz"/>
              <w:numPr>
                <w:ilvl w:val="0"/>
                <w:numId w:val="23"/>
              </w:numPr>
            </w:pPr>
            <w:r>
              <w:t xml:space="preserve">In dritter Linie für Massnahmen der Raumplanung nach Artikel 3 des Bundesgesetzes über die Raumplanung. </w:t>
            </w:r>
          </w:p>
          <w:p w:rsidR="00C74205" w:rsidRDefault="00C74205" w:rsidP="000140A8">
            <w:pPr>
              <w:pStyle w:val="TextGesetz"/>
            </w:pPr>
            <w:r>
              <w:rPr>
                <w:vertAlign w:val="superscript"/>
              </w:rPr>
              <w:t xml:space="preserve">2 </w:t>
            </w:r>
            <w:r w:rsidR="00DA314E">
              <w:t>Massnahmen der Raumplanung nach Artikel 3 des Bundesgesetzes über die Raumplanung können insbesondere sein</w:t>
            </w:r>
            <w:r>
              <w:t>:</w:t>
            </w:r>
          </w:p>
          <w:p w:rsidR="00C74205" w:rsidRDefault="000140A8" w:rsidP="000140A8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</w:pPr>
            <w:r>
              <w:t>Massnahmen zur Erhöhung der Siedlungsqualität, wie namentlich Schaffung und Gestaltung öffentlicher Räume und Erholungsgebiete sowie Erhaltun</w:t>
            </w:r>
            <w:r w:rsidR="00C74205">
              <w:t>g und Entwicklung der Baukultur;</w:t>
            </w:r>
          </w:p>
          <w:p w:rsidR="00C74205" w:rsidRDefault="00E63247" w:rsidP="000140A8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</w:pPr>
            <w:r>
              <w:t>Durchführung</w:t>
            </w:r>
            <w:r w:rsidR="000140A8">
              <w:t xml:space="preserve"> von Verfahren zur Erhöhung der Siedlungsqualität wie Wettbewerbe, Tes</w:t>
            </w:r>
            <w:r w:rsidR="00C74205">
              <w:t>tplanungen und Studienaufträge;</w:t>
            </w:r>
          </w:p>
          <w:p w:rsidR="00C74205" w:rsidRDefault="000140A8" w:rsidP="000140A8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</w:pPr>
            <w:r>
              <w:t>F</w:t>
            </w:r>
            <w:r w:rsidR="00C74205">
              <w:t>örderung des Bauzonenabtauschs;</w:t>
            </w:r>
          </w:p>
          <w:p w:rsidR="00C74205" w:rsidRDefault="00E63247" w:rsidP="000140A8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</w:pPr>
            <w:r>
              <w:t xml:space="preserve">Massnahmen zur </w:t>
            </w:r>
            <w:r w:rsidR="000140A8">
              <w:t>bessere</w:t>
            </w:r>
            <w:r>
              <w:t>n</w:t>
            </w:r>
            <w:r w:rsidR="000140A8">
              <w:t xml:space="preserve"> Nutzung brachliegender ode</w:t>
            </w:r>
            <w:r w:rsidR="00C74205">
              <w:t>r ungenügend genutzter Flächen;</w:t>
            </w:r>
          </w:p>
          <w:p w:rsidR="00E63247" w:rsidRDefault="000140A8" w:rsidP="00E63247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</w:pPr>
            <w:r>
              <w:t>Erhalt von Fruchtfo</w:t>
            </w:r>
            <w:r w:rsidR="00C74205">
              <w:t>lgeflächen und Bodenaufwertung;</w:t>
            </w:r>
          </w:p>
          <w:p w:rsidR="00DA314E" w:rsidRDefault="00DA314E" w:rsidP="00E63247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</w:pPr>
            <w:r>
              <w:t>Förderung erschwinglichen Wohnraums und Massnahmen zugunsten des gemeinnützigen (sozialen) Wohnungsbaus</w:t>
            </w:r>
          </w:p>
          <w:p w:rsidR="00E63247" w:rsidRDefault="00E63247" w:rsidP="00E63247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</w:pPr>
            <w:r>
              <w:t>Deckung der Verwaltungskosten der Gemeinde im Zusammenhang mit der Gewährung von Beiträgen;</w:t>
            </w:r>
          </w:p>
          <w:p w:rsidR="000140A8" w:rsidRDefault="000140A8" w:rsidP="000140A8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</w:pPr>
            <w:r>
              <w:t>[…]</w:t>
            </w:r>
          </w:p>
          <w:p w:rsidR="00E63247" w:rsidRDefault="00E63247" w:rsidP="00E63247">
            <w:pPr>
              <w:pStyle w:val="berschrift3Gesetz"/>
              <w:jc w:val="left"/>
            </w:pPr>
            <w:r>
              <w:t>Art. 4</w:t>
            </w:r>
            <w:r>
              <w:tab/>
              <w:t>Beitragshöhe</w:t>
            </w:r>
          </w:p>
          <w:p w:rsidR="000F4CE2" w:rsidRDefault="00E63247" w:rsidP="00E63247">
            <w:pPr>
              <w:pStyle w:val="TextGesetz"/>
            </w:pPr>
            <w:r>
              <w:rPr>
                <w:vertAlign w:val="superscript"/>
                <w:lang w:val="de-CH"/>
              </w:rPr>
              <w:t xml:space="preserve">1 </w:t>
            </w:r>
            <w:r>
              <w:t xml:space="preserve">Der Gemeindevorstand gewährt Beiträge </w:t>
            </w:r>
            <w:r w:rsidR="002E103C">
              <w:t xml:space="preserve">nach Artikel 3 Absatz 1 </w:t>
            </w:r>
            <w:proofErr w:type="spellStart"/>
            <w:r w:rsidR="002E103C">
              <w:t>litera</w:t>
            </w:r>
            <w:proofErr w:type="spellEnd"/>
            <w:r w:rsidR="002E103C">
              <w:t xml:space="preserve"> a und b nach </w:t>
            </w:r>
            <w:proofErr w:type="spellStart"/>
            <w:r w:rsidR="001F2513">
              <w:t>Massgabe</w:t>
            </w:r>
            <w:proofErr w:type="spellEnd"/>
            <w:r w:rsidR="002E103C">
              <w:t xml:space="preserve"> </w:t>
            </w:r>
            <w:r w:rsidR="001F2513">
              <w:t xml:space="preserve">der tatsächlich entstandenen Kosten </w:t>
            </w:r>
            <w:r w:rsidR="000F4CE2">
              <w:t>beziehungsweise</w:t>
            </w:r>
            <w:r w:rsidR="001F2513">
              <w:t xml:space="preserve"> </w:t>
            </w:r>
            <w:r w:rsidR="000F4CE2">
              <w:t>tatsächlich geleisteter Zahlungen</w:t>
            </w:r>
          </w:p>
          <w:p w:rsidR="00E63247" w:rsidRDefault="001F2513" w:rsidP="00E63247">
            <w:pPr>
              <w:pStyle w:val="TextGesetz"/>
            </w:pPr>
            <w:r>
              <w:rPr>
                <w:vertAlign w:val="superscript"/>
              </w:rPr>
              <w:t xml:space="preserve">2 </w:t>
            </w:r>
            <w:r w:rsidR="000F4CE2">
              <w:t xml:space="preserve">Für die übrigen Massnahmen leistet die Gemeinde </w:t>
            </w:r>
            <w:r w:rsidR="00A821ED">
              <w:t>Einzelbeiträge</w:t>
            </w:r>
            <w:r w:rsidR="000F4CE2">
              <w:t xml:space="preserve"> zwischen Fr. […] bis maximal Fr. […]</w:t>
            </w:r>
            <w:r w:rsidR="00A821ED">
              <w:t>, wobei der Beitragssatz maximale [</w:t>
            </w:r>
            <w:proofErr w:type="gramStart"/>
            <w:r w:rsidR="00A821ED">
              <w:t>…]%</w:t>
            </w:r>
            <w:proofErr w:type="gramEnd"/>
            <w:r w:rsidR="00A821ED">
              <w:t xml:space="preserve"> der anrechenbaren Kosten beträgt, sofern</w:t>
            </w:r>
            <w:r w:rsidR="000F4CE2">
              <w:t xml:space="preserve"> sie die Ziele der Raumplanung erfüllen und ein </w:t>
            </w:r>
            <w:r w:rsidR="00E63247">
              <w:t xml:space="preserve">gutes Kosten-Nutzen-Verhältnis </w:t>
            </w:r>
            <w:r w:rsidR="00A821ED">
              <w:t>erreicht wird.</w:t>
            </w:r>
            <w:r w:rsidR="000F4CE2">
              <w:t xml:space="preserve"> </w:t>
            </w:r>
          </w:p>
          <w:p w:rsidR="00A821ED" w:rsidRDefault="00E63247" w:rsidP="00E63247">
            <w:pPr>
              <w:pStyle w:val="TextGesetz"/>
            </w:pPr>
            <w:r>
              <w:rPr>
                <w:vertAlign w:val="superscript"/>
              </w:rPr>
              <w:t xml:space="preserve">2 </w:t>
            </w:r>
            <w:r w:rsidR="00A821ED">
              <w:t>Für diese übrigen Massnahmen besteht kein Anspruch auf Beitragsleistung.</w:t>
            </w:r>
          </w:p>
          <w:p w:rsidR="00E63247" w:rsidRPr="00A821ED" w:rsidRDefault="00A821ED" w:rsidP="00A821ED">
            <w:pPr>
              <w:pStyle w:val="berschrift3Gesetz"/>
              <w:jc w:val="left"/>
              <w:rPr>
                <w:bCs/>
              </w:rPr>
            </w:pPr>
            <w:r>
              <w:rPr>
                <w:bCs/>
              </w:rPr>
              <w:t>Art. 5</w:t>
            </w:r>
            <w:r>
              <w:rPr>
                <w:bCs/>
              </w:rPr>
              <w:tab/>
              <w:t>Anrechenbare Kosten</w:t>
            </w:r>
            <w:r w:rsidR="00E63247" w:rsidRPr="00A821ED">
              <w:rPr>
                <w:bCs/>
              </w:rPr>
              <w:t xml:space="preserve"> </w:t>
            </w:r>
          </w:p>
          <w:p w:rsidR="006C69E4" w:rsidRDefault="006C69E4" w:rsidP="006C69E4">
            <w:pPr>
              <w:pStyle w:val="TextGesetz"/>
            </w:pPr>
            <w:r>
              <w:rPr>
                <w:vertAlign w:val="superscript"/>
                <w:lang w:val="de-CH"/>
              </w:rPr>
              <w:t xml:space="preserve">1 </w:t>
            </w:r>
            <w:r>
              <w:t xml:space="preserve">Anrechenbare Kosten für die Bemessung des Beitrags sind die Kosten für Planung, Ausführung und Landerwerb. </w:t>
            </w:r>
          </w:p>
          <w:p w:rsidR="006C69E4" w:rsidRDefault="006C69E4" w:rsidP="006C69E4">
            <w:pPr>
              <w:pStyle w:val="TextGesetz"/>
            </w:pPr>
            <w:r>
              <w:rPr>
                <w:vertAlign w:val="superscript"/>
              </w:rPr>
              <w:t xml:space="preserve">2 </w:t>
            </w:r>
            <w:r>
              <w:t>Nicht anrechenbar sind namentlich</w:t>
            </w:r>
          </w:p>
          <w:p w:rsidR="006C69E4" w:rsidRDefault="006C69E4" w:rsidP="006C69E4">
            <w:pPr>
              <w:pStyle w:val="TextGesetz"/>
              <w:numPr>
                <w:ilvl w:val="0"/>
                <w:numId w:val="24"/>
              </w:numPr>
              <w:tabs>
                <w:tab w:val="left" w:pos="318"/>
              </w:tabs>
            </w:pPr>
            <w:r>
              <w:lastRenderedPageBreak/>
              <w:t>Finanzierungskosten,</w:t>
            </w:r>
          </w:p>
          <w:p w:rsidR="006C69E4" w:rsidRDefault="006C69E4" w:rsidP="006C69E4">
            <w:pPr>
              <w:pStyle w:val="TextGesetz"/>
              <w:numPr>
                <w:ilvl w:val="0"/>
                <w:numId w:val="24"/>
              </w:numPr>
              <w:tabs>
                <w:tab w:val="left" w:pos="318"/>
              </w:tabs>
            </w:pPr>
            <w:r>
              <w:t>Wiederkehrende Leistungen</w:t>
            </w:r>
          </w:p>
          <w:p w:rsidR="002E103C" w:rsidRDefault="006C69E4" w:rsidP="006C69E4">
            <w:pPr>
              <w:pStyle w:val="TextGesetz"/>
              <w:numPr>
                <w:ilvl w:val="0"/>
                <w:numId w:val="24"/>
              </w:numPr>
              <w:tabs>
                <w:tab w:val="left" w:pos="318"/>
              </w:tabs>
            </w:pPr>
            <w:r>
              <w:t>[…]</w:t>
            </w:r>
          </w:p>
          <w:p w:rsidR="00C219D8" w:rsidRDefault="009C34F8" w:rsidP="00C219D8">
            <w:pPr>
              <w:pStyle w:val="berschrift1Gesetz"/>
              <w:keepNext w:val="0"/>
              <w:contextualSpacing w:val="0"/>
            </w:pPr>
            <w:r w:rsidRPr="00961F3F">
              <w:t>I</w:t>
            </w:r>
            <w:r w:rsidR="006C69E4">
              <w:t>I</w:t>
            </w:r>
            <w:r w:rsidRPr="00961F3F">
              <w:t>I.</w:t>
            </w:r>
            <w:r w:rsidR="006C69E4">
              <w:tab/>
              <w:t>Verfahren</w:t>
            </w:r>
          </w:p>
          <w:p w:rsidR="006C69E4" w:rsidRDefault="006C69E4" w:rsidP="006C69E4">
            <w:pPr>
              <w:pStyle w:val="berschrift3Gesetz"/>
              <w:jc w:val="left"/>
              <w:rPr>
                <w:bCs/>
              </w:rPr>
            </w:pPr>
            <w:r>
              <w:rPr>
                <w:bCs/>
              </w:rPr>
              <w:t>Art. 6</w:t>
            </w:r>
            <w:r>
              <w:rPr>
                <w:bCs/>
              </w:rPr>
              <w:tab/>
              <w:t>Zuständigkeit</w:t>
            </w:r>
          </w:p>
          <w:p w:rsidR="006C69E4" w:rsidRDefault="00AA274B" w:rsidP="006C69E4">
            <w:pPr>
              <w:pStyle w:val="TextGesetz"/>
            </w:pPr>
            <w:r>
              <w:rPr>
                <w:vertAlign w:val="superscript"/>
              </w:rPr>
              <w:t xml:space="preserve">1 </w:t>
            </w:r>
            <w:r w:rsidR="006C69E4">
              <w:t>Über die Verwendung der Beiträge und die Auszahlung entscheidet der Gemeindevorstand.</w:t>
            </w:r>
          </w:p>
          <w:p w:rsidR="00AA274B" w:rsidRPr="00AA274B" w:rsidRDefault="00AA274B" w:rsidP="006C69E4">
            <w:pPr>
              <w:pStyle w:val="TextGesetz"/>
            </w:pPr>
            <w:r>
              <w:rPr>
                <w:vertAlign w:val="superscript"/>
              </w:rPr>
              <w:t xml:space="preserve">2 </w:t>
            </w:r>
            <w:r>
              <w:t>Beiträge für Massnahmen nach Artikel 3 Abs</w:t>
            </w:r>
            <w:r w:rsidR="00720819">
              <w:t>atz</w:t>
            </w:r>
            <w:r>
              <w:t xml:space="preserve"> 1 </w:t>
            </w:r>
            <w:proofErr w:type="spellStart"/>
            <w:r>
              <w:t>litera</w:t>
            </w:r>
            <w:proofErr w:type="spellEnd"/>
            <w:r>
              <w:t xml:space="preserve"> c und Absatz 2</w:t>
            </w:r>
            <w:r w:rsidR="00720819">
              <w:t xml:space="preserve"> können von Bedingungen und Auflagen abhängig gemacht werden.</w:t>
            </w:r>
          </w:p>
          <w:p w:rsidR="006C69E4" w:rsidRDefault="006C69E4" w:rsidP="006C69E4">
            <w:pPr>
              <w:pStyle w:val="berschrift3Gesetz"/>
              <w:jc w:val="left"/>
              <w:rPr>
                <w:bCs/>
              </w:rPr>
            </w:pPr>
            <w:r>
              <w:rPr>
                <w:bCs/>
              </w:rPr>
              <w:t>Art. 7</w:t>
            </w:r>
            <w:r>
              <w:rPr>
                <w:bCs/>
              </w:rPr>
              <w:tab/>
              <w:t>Beitragsgesuch</w:t>
            </w:r>
          </w:p>
          <w:p w:rsidR="006C69E4" w:rsidRDefault="006C69E4" w:rsidP="006C69E4">
            <w:pPr>
              <w:pStyle w:val="TextGesetz"/>
            </w:pPr>
            <w:r>
              <w:rPr>
                <w:vertAlign w:val="superscript"/>
              </w:rPr>
              <w:t>1</w:t>
            </w:r>
            <w:r>
              <w:t xml:space="preserve"> Das Beitragsgesuch ist schriftlich beim Gemeindevorstand einzureichen und muss namentlich enthalten:</w:t>
            </w:r>
          </w:p>
          <w:p w:rsidR="006C69E4" w:rsidRDefault="006C69E4" w:rsidP="006C69E4">
            <w:pPr>
              <w:pStyle w:val="TextGesetz"/>
              <w:numPr>
                <w:ilvl w:val="0"/>
                <w:numId w:val="25"/>
              </w:numPr>
            </w:pPr>
            <w:r>
              <w:t>Angabe der Höhe der geforderten Entschädigung;</w:t>
            </w:r>
          </w:p>
          <w:p w:rsidR="006C69E4" w:rsidRDefault="006C69E4" w:rsidP="006C69E4">
            <w:pPr>
              <w:pStyle w:val="TextGesetz"/>
              <w:numPr>
                <w:ilvl w:val="0"/>
                <w:numId w:val="25"/>
              </w:numPr>
            </w:pPr>
            <w:r>
              <w:t>Beschreibung der Massnahmen</w:t>
            </w:r>
            <w:r w:rsidR="00AA274B">
              <w:t xml:space="preserve"> samt Plänen</w:t>
            </w:r>
            <w:r>
              <w:t>, bei baubewilli</w:t>
            </w:r>
            <w:r w:rsidR="00AA274B">
              <w:t xml:space="preserve">gungspflichtigen Vorhaben samt Baugesuch </w:t>
            </w:r>
          </w:p>
          <w:p w:rsidR="00AA274B" w:rsidRDefault="00AA274B" w:rsidP="006C69E4">
            <w:pPr>
              <w:pStyle w:val="TextGesetz"/>
              <w:numPr>
                <w:ilvl w:val="0"/>
                <w:numId w:val="25"/>
              </w:numPr>
            </w:pPr>
            <w:r>
              <w:t>…</w:t>
            </w:r>
          </w:p>
          <w:p w:rsidR="00AA274B" w:rsidRDefault="00AA274B" w:rsidP="00AA274B">
            <w:pPr>
              <w:pStyle w:val="TextGesetz"/>
            </w:pPr>
            <w:r>
              <w:rPr>
                <w:vertAlign w:val="superscript"/>
              </w:rPr>
              <w:t xml:space="preserve">2 </w:t>
            </w:r>
            <w:r>
              <w:t xml:space="preserve">Der Gemeindevorstand kann weitere Unterlagen verlangen, wenn dies für die Behandlung des Gesuchs erforderlich ist. </w:t>
            </w:r>
          </w:p>
          <w:p w:rsidR="00AA274B" w:rsidRDefault="00AA274B" w:rsidP="00AA274B">
            <w:pPr>
              <w:pStyle w:val="TextGesetz"/>
            </w:pPr>
            <w:r>
              <w:rPr>
                <w:vertAlign w:val="superscript"/>
              </w:rPr>
              <w:t>3</w:t>
            </w:r>
            <w:r>
              <w:t xml:space="preserve"> Auf unvollständige Gesuche wird nicht eingetreten.</w:t>
            </w:r>
          </w:p>
          <w:p w:rsidR="00AA274B" w:rsidRDefault="00AA274B" w:rsidP="00AA274B">
            <w:pPr>
              <w:pStyle w:val="berschrift3Gesetz"/>
              <w:jc w:val="left"/>
              <w:rPr>
                <w:bCs/>
              </w:rPr>
            </w:pPr>
            <w:r>
              <w:rPr>
                <w:bCs/>
              </w:rPr>
              <w:t>Art. 8</w:t>
            </w:r>
            <w:r>
              <w:rPr>
                <w:bCs/>
              </w:rPr>
              <w:tab/>
              <w:t>Auszahlung</w:t>
            </w:r>
            <w:r>
              <w:rPr>
                <w:rStyle w:val="Funotenzeichen"/>
                <w:bCs/>
              </w:rPr>
              <w:footnoteReference w:id="2"/>
            </w:r>
          </w:p>
          <w:p w:rsidR="00AA274B" w:rsidRDefault="00AA274B" w:rsidP="00AA274B">
            <w:pPr>
              <w:pStyle w:val="TextGesetz"/>
            </w:pPr>
            <w:r>
              <w:rPr>
                <w:vertAlign w:val="superscript"/>
              </w:rPr>
              <w:t xml:space="preserve">1 </w:t>
            </w:r>
            <w:r>
              <w:t>Der Gemeindevorstand entscheidet über die Auszahlung von gewährten Beiträgen. Er kann Akontozahlungen nach dem Fortschritt der Arbeiten oder den Gesamtbeitrag leisten.</w:t>
            </w:r>
          </w:p>
          <w:p w:rsidR="00AA274B" w:rsidRDefault="00AA274B" w:rsidP="00AA274B">
            <w:pPr>
              <w:pStyle w:val="TextGesetz"/>
            </w:pPr>
            <w:r>
              <w:rPr>
                <w:vertAlign w:val="superscript"/>
              </w:rPr>
              <w:t xml:space="preserve">2 </w:t>
            </w:r>
            <w:r>
              <w:t>Er ist befugt, die korrekte Auszahlung zu überprüfen und entsprechend Bestätigungen zu verlangen.</w:t>
            </w:r>
          </w:p>
          <w:p w:rsidR="00720819" w:rsidRDefault="00720819" w:rsidP="00720819">
            <w:pPr>
              <w:pStyle w:val="TextGesetz"/>
              <w:spacing w:line="240" w:lineRule="auto"/>
            </w:pPr>
            <w:r>
              <w:rPr>
                <w:vertAlign w:val="superscript"/>
              </w:rPr>
              <w:t>3</w:t>
            </w:r>
            <w:r>
              <w:t xml:space="preserve"> Die Beiträge sind zurückzuerstatten, wenn rechtliche Bestimmungen verletzt, Bedingungen oder Auflagen missachtet oder die Beiträge mit falschen Angaben beantragt worden sind.</w:t>
            </w:r>
          </w:p>
          <w:p w:rsidR="00720819" w:rsidRDefault="00720819" w:rsidP="00720819">
            <w:pPr>
              <w:pStyle w:val="berschrift3Gesetz"/>
              <w:jc w:val="left"/>
              <w:rPr>
                <w:bCs/>
              </w:rPr>
            </w:pPr>
            <w:r>
              <w:rPr>
                <w:bCs/>
              </w:rPr>
              <w:t>Art. 9</w:t>
            </w:r>
            <w:r>
              <w:rPr>
                <w:bCs/>
              </w:rPr>
              <w:tab/>
              <w:t>Schlussbestimmungen</w:t>
            </w:r>
          </w:p>
          <w:p w:rsidR="00720819" w:rsidRDefault="00720819" w:rsidP="00720819">
            <w:pPr>
              <w:pStyle w:val="TextGesetz"/>
            </w:pPr>
            <w:r>
              <w:rPr>
                <w:vertAlign w:val="superscript"/>
              </w:rPr>
              <w:t xml:space="preserve">1 </w:t>
            </w:r>
            <w:r>
              <w:t xml:space="preserve">Dieses Gesetz wurde beschlossen von den Stimmberechtigten </w:t>
            </w:r>
            <w:r>
              <w:lastRenderedPageBreak/>
              <w:t>/ der Gemeindeversammlung am …</w:t>
            </w:r>
          </w:p>
          <w:p w:rsidR="00720819" w:rsidRPr="00720819" w:rsidRDefault="00720819" w:rsidP="00720819">
            <w:pPr>
              <w:pStyle w:val="TextGesetz"/>
            </w:pPr>
            <w:r>
              <w:rPr>
                <w:vertAlign w:val="superscript"/>
              </w:rPr>
              <w:t xml:space="preserve">2 </w:t>
            </w:r>
            <w:r>
              <w:t>Dieses Gesetz tritt am … in Kraft.</w:t>
            </w:r>
          </w:p>
          <w:p w:rsidR="00AA274B" w:rsidRPr="00AA274B" w:rsidRDefault="00AA274B" w:rsidP="00AA274B">
            <w:pPr>
              <w:pStyle w:val="TextGesetz"/>
            </w:pPr>
          </w:p>
          <w:p w:rsidR="009C34F8" w:rsidRPr="008C1FB6" w:rsidRDefault="009C34F8" w:rsidP="009C34F8"/>
          <w:p w:rsidR="009C34F8" w:rsidRDefault="009C34F8" w:rsidP="009C34F8">
            <w:pPr>
              <w:pStyle w:val="berschrift1Gesetz"/>
              <w:keepNext w:val="0"/>
              <w:ind w:left="0" w:firstLine="0"/>
              <w:contextualSpacing w:val="0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C34F8" w:rsidRPr="00C74205" w:rsidRDefault="00C219D8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u w:val="single"/>
              </w:rPr>
            </w:pPr>
            <w:r w:rsidRPr="00C74205">
              <w:rPr>
                <w:b w:val="0"/>
                <w:i/>
                <w:sz w:val="18"/>
                <w:szCs w:val="18"/>
                <w:u w:val="single"/>
              </w:rPr>
              <w:lastRenderedPageBreak/>
              <w:t>Bemerkungen</w:t>
            </w: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  <w:r w:rsidRPr="00C74205">
              <w:rPr>
                <w:b w:val="0"/>
                <w:i/>
                <w:sz w:val="18"/>
                <w:szCs w:val="18"/>
              </w:rPr>
              <w:br/>
            </w:r>
            <w:r w:rsidRPr="00C74205">
              <w:rPr>
                <w:b w:val="0"/>
                <w:i/>
                <w:sz w:val="18"/>
                <w:szCs w:val="18"/>
              </w:rPr>
              <w:br/>
            </w:r>
          </w:p>
          <w:p w:rsidR="002E103C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  <w:r w:rsidRPr="00C74205">
              <w:rPr>
                <w:b w:val="0"/>
                <w:i/>
                <w:sz w:val="18"/>
                <w:szCs w:val="18"/>
              </w:rPr>
              <w:br/>
            </w:r>
            <w:r>
              <w:rPr>
                <w:b w:val="0"/>
                <w:i/>
                <w:sz w:val="18"/>
                <w:szCs w:val="18"/>
              </w:rPr>
              <w:br/>
            </w:r>
            <w:r w:rsidRPr="00C74205">
              <w:rPr>
                <w:b w:val="0"/>
                <w:i/>
                <w:sz w:val="18"/>
                <w:szCs w:val="18"/>
              </w:rPr>
              <w:br/>
            </w:r>
          </w:p>
          <w:p w:rsidR="002E103C" w:rsidRDefault="002E103C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2E103C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br/>
            </w:r>
            <w:r>
              <w:rPr>
                <w:b w:val="0"/>
                <w:i/>
                <w:sz w:val="18"/>
                <w:szCs w:val="18"/>
              </w:rPr>
              <w:br/>
            </w: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  <w:r w:rsidRPr="00C74205">
              <w:rPr>
                <w:b w:val="0"/>
                <w:i/>
                <w:sz w:val="18"/>
                <w:szCs w:val="18"/>
              </w:rPr>
              <w:t>Exemplarische Aufzählung;</w:t>
            </w:r>
            <w:r w:rsidRPr="00C74205">
              <w:rPr>
                <w:b w:val="0"/>
                <w:i/>
                <w:sz w:val="18"/>
                <w:szCs w:val="18"/>
              </w:rPr>
              <w:br/>
              <w:t>die Gemeinden haben einen grossen Ermessenspielraum.</w:t>
            </w: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Pr="00C74205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835B20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br/>
            </w:r>
          </w:p>
          <w:p w:rsidR="00DF1FC5" w:rsidRDefault="00DF1FC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DF1FC5" w:rsidRDefault="00DF1FC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DF1FC5" w:rsidRDefault="00DF1FC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821ED" w:rsidRDefault="00835B20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br/>
            </w:r>
            <w:r w:rsidR="006C69E4">
              <w:rPr>
                <w:b w:val="0"/>
                <w:i/>
                <w:sz w:val="18"/>
                <w:szCs w:val="18"/>
              </w:rPr>
              <w:t>Die</w:t>
            </w:r>
            <w:r w:rsidR="001F2513">
              <w:rPr>
                <w:b w:val="0"/>
                <w:i/>
                <w:sz w:val="18"/>
                <w:szCs w:val="18"/>
              </w:rPr>
              <w:t xml:space="preserve"> Entschädigung für </w:t>
            </w:r>
            <w:r w:rsidR="000F4CE2">
              <w:rPr>
                <w:b w:val="0"/>
                <w:i/>
                <w:sz w:val="18"/>
                <w:szCs w:val="18"/>
              </w:rPr>
              <w:t>materielle</w:t>
            </w:r>
            <w:r w:rsidR="001F2513">
              <w:rPr>
                <w:b w:val="0"/>
                <w:i/>
                <w:sz w:val="18"/>
                <w:szCs w:val="18"/>
              </w:rPr>
              <w:t xml:space="preserve"> Ent</w:t>
            </w:r>
            <w:r w:rsidR="000F4CE2">
              <w:rPr>
                <w:b w:val="0"/>
                <w:i/>
                <w:sz w:val="18"/>
                <w:szCs w:val="18"/>
              </w:rPr>
              <w:t>e</w:t>
            </w:r>
            <w:r w:rsidR="001F2513">
              <w:rPr>
                <w:b w:val="0"/>
                <w:i/>
                <w:sz w:val="18"/>
                <w:szCs w:val="18"/>
              </w:rPr>
              <w:t xml:space="preserve">ignung (Art. </w:t>
            </w:r>
            <w:r w:rsidR="000F4CE2">
              <w:rPr>
                <w:b w:val="0"/>
                <w:i/>
                <w:sz w:val="18"/>
                <w:szCs w:val="18"/>
              </w:rPr>
              <w:t xml:space="preserve">19q Abs. 3 lit. a i.V.m. Art. 19s KRG), </w:t>
            </w:r>
            <w:r w:rsidR="001F2513">
              <w:rPr>
                <w:b w:val="0"/>
                <w:i/>
                <w:sz w:val="18"/>
                <w:szCs w:val="18"/>
              </w:rPr>
              <w:t>Erschliessungsaufwendungen (</w:t>
            </w:r>
            <w:r w:rsidR="000F4CE2">
              <w:rPr>
                <w:b w:val="0"/>
                <w:i/>
                <w:sz w:val="18"/>
                <w:szCs w:val="18"/>
              </w:rPr>
              <w:t>A</w:t>
            </w:r>
            <w:r w:rsidR="001F2513">
              <w:rPr>
                <w:b w:val="0"/>
                <w:i/>
                <w:sz w:val="18"/>
                <w:szCs w:val="18"/>
              </w:rPr>
              <w:t xml:space="preserve">rt. </w:t>
            </w:r>
            <w:r w:rsidR="000F4CE2">
              <w:rPr>
                <w:b w:val="0"/>
                <w:i/>
                <w:sz w:val="18"/>
                <w:szCs w:val="18"/>
              </w:rPr>
              <w:t xml:space="preserve">19q Abs. 3 lit. a i.V.m. Art. 19t KRG) und Anwalts- und Verfahrenskosten (Art. 19q Abs. 3 KRG) sowie die Kosten für die Rückerstattung geleisteter Mehrwertabgaben (Art. 19u KRG) </w:t>
            </w:r>
            <w:r w:rsidR="001F2513">
              <w:rPr>
                <w:b w:val="0"/>
                <w:i/>
                <w:sz w:val="18"/>
                <w:szCs w:val="18"/>
              </w:rPr>
              <w:t xml:space="preserve">hat im vollen Umfang zu erfolgen. Eine Beschränkung </w:t>
            </w:r>
            <w:r w:rsidR="000F4CE2">
              <w:rPr>
                <w:b w:val="0"/>
                <w:i/>
                <w:sz w:val="18"/>
                <w:szCs w:val="18"/>
              </w:rPr>
              <w:t>der B</w:t>
            </w:r>
            <w:r w:rsidR="00A821ED">
              <w:rPr>
                <w:b w:val="0"/>
                <w:i/>
                <w:sz w:val="18"/>
                <w:szCs w:val="18"/>
              </w:rPr>
              <w:t>eitragshöhe wäre nicht zulässig.</w:t>
            </w:r>
          </w:p>
          <w:p w:rsidR="00C74205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Für andere Massnahmen kann d</w:t>
            </w:r>
            <w:r w:rsidR="00835B20">
              <w:rPr>
                <w:b w:val="0"/>
                <w:i/>
                <w:sz w:val="18"/>
                <w:szCs w:val="18"/>
              </w:rPr>
              <w:t xml:space="preserve">ie Beitragshöhe </w:t>
            </w:r>
            <w:r>
              <w:rPr>
                <w:b w:val="0"/>
                <w:i/>
                <w:sz w:val="18"/>
                <w:szCs w:val="18"/>
              </w:rPr>
              <w:t>aber</w:t>
            </w:r>
            <w:r w:rsidR="00835B20">
              <w:rPr>
                <w:b w:val="0"/>
                <w:i/>
                <w:sz w:val="18"/>
                <w:szCs w:val="18"/>
              </w:rPr>
              <w:t xml:space="preserve"> p</w:t>
            </w:r>
            <w:r>
              <w:rPr>
                <w:b w:val="0"/>
                <w:i/>
                <w:sz w:val="18"/>
                <w:szCs w:val="18"/>
              </w:rPr>
              <w:t>lafoniert werden. A</w:t>
            </w:r>
            <w:r w:rsidR="00835B20">
              <w:rPr>
                <w:b w:val="0"/>
                <w:i/>
                <w:sz w:val="18"/>
                <w:szCs w:val="18"/>
              </w:rPr>
              <w:t>uch die Festlegung von Mindestbeiträgen kann sinnvoll sein, um die Verwaltung von einer Vielzahl Gesuche für Kleinstbeiträge zu entlasten.</w:t>
            </w:r>
            <w:r>
              <w:rPr>
                <w:b w:val="0"/>
                <w:i/>
                <w:sz w:val="18"/>
                <w:szCs w:val="18"/>
              </w:rPr>
              <w:t xml:space="preserve"> Wird auf die anrechenbaren Kosten Bezug genommen, sollten diese im Gesetz definiert werden.</w:t>
            </w:r>
          </w:p>
          <w:p w:rsidR="006C69E4" w:rsidRDefault="006C69E4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6C69E4" w:rsidRDefault="006C69E4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DF1FC5" w:rsidRDefault="00DF1FC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DF1FC5" w:rsidRDefault="00DF1FC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6C69E4" w:rsidRDefault="006C69E4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6C69E4" w:rsidRDefault="006C69E4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Alternativ kann auch eine andere Gemeindebehörde mit der Verwaltung der kommunalen Spezialfinanzierung betraut werden (Art. 40 Abs. 1 GG, Art. 19w Abs. 1 KRG)</w:t>
            </w:r>
          </w:p>
          <w:p w:rsidR="00AA274B" w:rsidRDefault="00AA274B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A274B" w:rsidRDefault="00AA274B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A274B" w:rsidRDefault="00AA274B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A274B" w:rsidRDefault="00AA274B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A274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A274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A274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A274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A274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A274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A274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720819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720819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720819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720819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720819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720819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AA274B" w:rsidRPr="00C74205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</w:tc>
      </w:tr>
      <w:tr w:rsidR="00C74205" w:rsidRPr="00C219D8" w:rsidTr="00A821ED">
        <w:tc>
          <w:tcPr>
            <w:tcW w:w="6237" w:type="dxa"/>
            <w:tcBorders>
              <w:right w:val="single" w:sz="4" w:space="0" w:color="auto"/>
            </w:tcBorders>
          </w:tcPr>
          <w:p w:rsidR="00C74205" w:rsidRDefault="00C74205" w:rsidP="009C34F8">
            <w:pPr>
              <w:pStyle w:val="berschrift1Gesetz"/>
              <w:keepNext w:val="0"/>
              <w:contextualSpacing w:val="0"/>
            </w:pPr>
          </w:p>
          <w:p w:rsidR="00C74205" w:rsidRDefault="00C74205" w:rsidP="009C34F8">
            <w:pPr>
              <w:pStyle w:val="berschrift1Gesetz"/>
              <w:keepNext w:val="0"/>
              <w:contextualSpacing w:val="0"/>
            </w:pPr>
          </w:p>
          <w:p w:rsidR="00C74205" w:rsidRPr="00961F3F" w:rsidRDefault="00C74205" w:rsidP="009C34F8">
            <w:pPr>
              <w:pStyle w:val="berschrift1Gesetz"/>
              <w:keepNext w:val="0"/>
              <w:contextualSpacing w:val="0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205" w:rsidRPr="00C74205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</w:rPr>
            </w:pPr>
          </w:p>
        </w:tc>
      </w:tr>
    </w:tbl>
    <w:p w:rsidR="009C34F8" w:rsidRDefault="009C34F8" w:rsidP="009C34F8">
      <w:pPr>
        <w:pStyle w:val="berschrift1Gesetz"/>
      </w:pPr>
    </w:p>
    <w:p w:rsidR="009C34F8" w:rsidRDefault="009C34F8" w:rsidP="009C34F8">
      <w:pPr>
        <w:pStyle w:val="berschrift1Gesetz"/>
        <w:sectPr w:rsidR="009C34F8" w:rsidSect="009C34F8">
          <w:type w:val="continuous"/>
          <w:pgSz w:w="11906" w:h="16838" w:code="9"/>
          <w:pgMar w:top="1701" w:right="1701" w:bottom="1701" w:left="1701" w:header="851" w:footer="567" w:gutter="0"/>
          <w:paperSrc w:first="261" w:other="261"/>
          <w:cols w:space="720"/>
          <w:titlePg/>
        </w:sectPr>
      </w:pPr>
    </w:p>
    <w:p w:rsidR="008C1FB6" w:rsidRPr="008C1FB6" w:rsidRDefault="008C1FB6" w:rsidP="009C34F8"/>
    <w:sectPr w:rsidR="008C1FB6" w:rsidRPr="008C1FB6" w:rsidSect="009C34F8">
      <w:type w:val="continuous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817" w:rsidRDefault="00924817">
      <w:r>
        <w:separator/>
      </w:r>
    </w:p>
  </w:endnote>
  <w:endnote w:type="continuationSeparator" w:id="0">
    <w:p w:rsidR="00924817" w:rsidRDefault="0092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Web">
    <w:altName w:val="Cambria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817" w:rsidRDefault="00924817">
      <w:r>
        <w:separator/>
      </w:r>
    </w:p>
  </w:footnote>
  <w:footnote w:type="continuationSeparator" w:id="0">
    <w:p w:rsidR="00924817" w:rsidRDefault="00924817">
      <w:r>
        <w:continuationSeparator/>
      </w:r>
    </w:p>
  </w:footnote>
  <w:footnote w:id="1">
    <w:p w:rsidR="009C34F8" w:rsidRDefault="009C34F8" w:rsidP="00D738EC">
      <w:pPr>
        <w:pStyle w:val="Funotentext"/>
      </w:pPr>
      <w:r>
        <w:rPr>
          <w:rStyle w:val="Funotenzeichen"/>
        </w:rPr>
        <w:footnoteRef/>
      </w:r>
      <w:r w:rsidRPr="00DF1FC5">
        <w:rPr>
          <w:sz w:val="18"/>
        </w:rPr>
        <w:tab/>
        <w:t>Wünscht die Gemeinde weitergehende Bestimmungen zum Ausgleich von Planungsvorteilen</w:t>
      </w:r>
      <w:r w:rsidR="00954A71" w:rsidRPr="00DF1FC5">
        <w:rPr>
          <w:sz w:val="18"/>
        </w:rPr>
        <w:t xml:space="preserve"> im Sinne von Art. 19p KRG i.V.m. Art. 35n Abs. 2 KRVO</w:t>
      </w:r>
      <w:r w:rsidRPr="00DF1FC5">
        <w:rPr>
          <w:sz w:val="18"/>
        </w:rPr>
        <w:t xml:space="preserve">, können diese entweder im Baugesetz aufgenommen werden oder in einem separaten Gesetz </w:t>
      </w:r>
      <w:r w:rsidR="00954A71" w:rsidRPr="00DF1FC5">
        <w:rPr>
          <w:sz w:val="18"/>
        </w:rPr>
        <w:t xml:space="preserve">erlassen </w:t>
      </w:r>
      <w:r w:rsidRPr="00DF1FC5">
        <w:rPr>
          <w:sz w:val="18"/>
        </w:rPr>
        <w:t>werden.</w:t>
      </w:r>
    </w:p>
  </w:footnote>
  <w:footnote w:id="2">
    <w:p w:rsidR="00AA274B" w:rsidRPr="00AA274B" w:rsidRDefault="00AA274B" w:rsidP="00D738EC">
      <w:pPr>
        <w:pStyle w:val="Funotentext"/>
      </w:pPr>
      <w:r>
        <w:rPr>
          <w:rStyle w:val="Funotenzeichen"/>
        </w:rPr>
        <w:footnoteRef/>
      </w:r>
      <w:r>
        <w:tab/>
      </w:r>
      <w:r w:rsidRPr="00DF1FC5">
        <w:rPr>
          <w:sz w:val="18"/>
        </w:rPr>
        <w:t>Hinweis: Da ein kommunaler Spezialfonds nicht verschuldet werden darf, sollte eine Gemeinde keine Beiträge sprechen, solange im kommunalen Spezialfonds nicht genügend Geld vorhanden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  <w:szCs w:val="16"/>
      </w:rPr>
      <w:fldChar w:fldCharType="begin"/>
    </w:r>
    <w:r w:rsidRPr="00572DEF">
      <w:rPr>
        <w:sz w:val="16"/>
        <w:szCs w:val="16"/>
      </w:rPr>
      <w:instrText xml:space="preserve"> PAGE </w:instrText>
    </w:r>
    <w:r w:rsidRPr="00572DEF">
      <w:rPr>
        <w:sz w:val="16"/>
        <w:szCs w:val="16"/>
      </w:rPr>
      <w:fldChar w:fldCharType="separate"/>
    </w:r>
    <w:r w:rsidR="00175CDD">
      <w:rPr>
        <w:noProof/>
        <w:sz w:val="16"/>
        <w:szCs w:val="16"/>
      </w:rPr>
      <w:t>4</w:t>
    </w:r>
    <w:r w:rsidRPr="00572DEF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C75" w:rsidRPr="00F004E8" w:rsidRDefault="00EF3C75" w:rsidP="00EF3C7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eastAsia="Calibri"/>
        <w:b/>
        <w:szCs w:val="16"/>
      </w:rPr>
    </w:pPr>
    <w:r w:rsidRPr="00F004E8">
      <w:rPr>
        <w:rFonts w:eastAsia="Calibri"/>
        <w:b/>
        <w:szCs w:val="16"/>
      </w:rPr>
      <w:t xml:space="preserve">Vollzugshilfe </w:t>
    </w:r>
    <w:r>
      <w:rPr>
        <w:rFonts w:eastAsia="Calibri"/>
        <w:b/>
        <w:szCs w:val="16"/>
      </w:rPr>
      <w:t>M10</w:t>
    </w:r>
  </w:p>
  <w:p w:rsidR="00EF3C75" w:rsidRPr="00F004E8" w:rsidRDefault="00EF3C75" w:rsidP="00EF3C7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eastAsia="Calibri"/>
        <w:b/>
        <w:sz w:val="16"/>
        <w:szCs w:val="16"/>
      </w:rPr>
    </w:pPr>
    <w:r>
      <w:rPr>
        <w:rFonts w:eastAsia="Calibri"/>
        <w:sz w:val="16"/>
        <w:szCs w:val="16"/>
      </w:rPr>
      <w:t xml:space="preserve">Amt für Raumentwicklung Graubünden, Version Stand </w:t>
    </w:r>
    <w:r w:rsidR="00175CDD">
      <w:rPr>
        <w:rFonts w:eastAsia="Calibri"/>
        <w:sz w:val="16"/>
        <w:szCs w:val="16"/>
      </w:rPr>
      <w:t>03.01.2022</w:t>
    </w:r>
  </w:p>
  <w:p w:rsidR="001C6D5A" w:rsidRPr="001C6D5A" w:rsidRDefault="001C6D5A" w:rsidP="001C6D5A">
    <w:pPr>
      <w:tabs>
        <w:tab w:val="center" w:pos="4536"/>
        <w:tab w:val="right" w:pos="9072"/>
      </w:tabs>
      <w:spacing w:after="0" w:line="260" w:lineRule="atLeast"/>
      <w:jc w:val="left"/>
      <w:rPr>
        <w:rFonts w:ascii="Minion Web" w:eastAsia="Times New Roman" w:hAnsi="Minion Web" w:cs="Times New Roman"/>
        <w:sz w:val="24"/>
        <w:szCs w:val="20"/>
        <w:lang w:eastAsia="de-DE"/>
      </w:rPr>
    </w:pPr>
  </w:p>
  <w:p w:rsidR="001C6D5A" w:rsidRDefault="001C6D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962"/>
    <w:multiLevelType w:val="hybridMultilevel"/>
    <w:tmpl w:val="5C50D654"/>
    <w:lvl w:ilvl="0" w:tplc="111830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7A"/>
    <w:multiLevelType w:val="hybridMultilevel"/>
    <w:tmpl w:val="49525B5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0B7A"/>
    <w:multiLevelType w:val="hybridMultilevel"/>
    <w:tmpl w:val="88861E10"/>
    <w:lvl w:ilvl="0" w:tplc="4EBE28F4">
      <w:start w:val="1"/>
      <w:numFmt w:val="lowerLetter"/>
      <w:lvlText w:val="%1)"/>
      <w:lvlJc w:val="left"/>
      <w:pPr>
        <w:ind w:left="705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95" w:hanging="360"/>
      </w:pPr>
    </w:lvl>
    <w:lvl w:ilvl="2" w:tplc="0807001B" w:tentative="1">
      <w:start w:val="1"/>
      <w:numFmt w:val="lowerRoman"/>
      <w:lvlText w:val="%3."/>
      <w:lvlJc w:val="right"/>
      <w:pPr>
        <w:ind w:left="2115" w:hanging="180"/>
      </w:pPr>
    </w:lvl>
    <w:lvl w:ilvl="3" w:tplc="0807000F" w:tentative="1">
      <w:start w:val="1"/>
      <w:numFmt w:val="decimal"/>
      <w:lvlText w:val="%4."/>
      <w:lvlJc w:val="left"/>
      <w:pPr>
        <w:ind w:left="2835" w:hanging="360"/>
      </w:pPr>
    </w:lvl>
    <w:lvl w:ilvl="4" w:tplc="08070019" w:tentative="1">
      <w:start w:val="1"/>
      <w:numFmt w:val="lowerLetter"/>
      <w:lvlText w:val="%5."/>
      <w:lvlJc w:val="left"/>
      <w:pPr>
        <w:ind w:left="3555" w:hanging="360"/>
      </w:pPr>
    </w:lvl>
    <w:lvl w:ilvl="5" w:tplc="0807001B" w:tentative="1">
      <w:start w:val="1"/>
      <w:numFmt w:val="lowerRoman"/>
      <w:lvlText w:val="%6."/>
      <w:lvlJc w:val="right"/>
      <w:pPr>
        <w:ind w:left="4275" w:hanging="180"/>
      </w:pPr>
    </w:lvl>
    <w:lvl w:ilvl="6" w:tplc="0807000F" w:tentative="1">
      <w:start w:val="1"/>
      <w:numFmt w:val="decimal"/>
      <w:lvlText w:val="%7."/>
      <w:lvlJc w:val="left"/>
      <w:pPr>
        <w:ind w:left="4995" w:hanging="360"/>
      </w:pPr>
    </w:lvl>
    <w:lvl w:ilvl="7" w:tplc="08070019" w:tentative="1">
      <w:start w:val="1"/>
      <w:numFmt w:val="lowerLetter"/>
      <w:lvlText w:val="%8."/>
      <w:lvlJc w:val="left"/>
      <w:pPr>
        <w:ind w:left="5715" w:hanging="360"/>
      </w:pPr>
    </w:lvl>
    <w:lvl w:ilvl="8" w:tplc="080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00842"/>
    <w:multiLevelType w:val="hybridMultilevel"/>
    <w:tmpl w:val="344A64C6"/>
    <w:lvl w:ilvl="0" w:tplc="8EE8E5F6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258B5"/>
    <w:multiLevelType w:val="hybridMultilevel"/>
    <w:tmpl w:val="AFBE95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66132"/>
    <w:multiLevelType w:val="hybridMultilevel"/>
    <w:tmpl w:val="5C50D654"/>
    <w:lvl w:ilvl="0" w:tplc="111830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03CDF"/>
    <w:multiLevelType w:val="multilevel"/>
    <w:tmpl w:val="F67EDFDE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116AF"/>
    <w:multiLevelType w:val="hybridMultilevel"/>
    <w:tmpl w:val="ADEE086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C5F92"/>
    <w:multiLevelType w:val="hybridMultilevel"/>
    <w:tmpl w:val="9C389532"/>
    <w:lvl w:ilvl="0" w:tplc="997CB36A">
      <w:start w:val="1"/>
      <w:numFmt w:val="lowerLetter"/>
      <w:lvlText w:val="%1)"/>
      <w:lvlJc w:val="left"/>
      <w:pPr>
        <w:ind w:left="705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95" w:hanging="360"/>
      </w:pPr>
    </w:lvl>
    <w:lvl w:ilvl="2" w:tplc="0807001B" w:tentative="1">
      <w:start w:val="1"/>
      <w:numFmt w:val="lowerRoman"/>
      <w:lvlText w:val="%3."/>
      <w:lvlJc w:val="right"/>
      <w:pPr>
        <w:ind w:left="2115" w:hanging="180"/>
      </w:pPr>
    </w:lvl>
    <w:lvl w:ilvl="3" w:tplc="0807000F" w:tentative="1">
      <w:start w:val="1"/>
      <w:numFmt w:val="decimal"/>
      <w:lvlText w:val="%4."/>
      <w:lvlJc w:val="left"/>
      <w:pPr>
        <w:ind w:left="2835" w:hanging="360"/>
      </w:pPr>
    </w:lvl>
    <w:lvl w:ilvl="4" w:tplc="08070019" w:tentative="1">
      <w:start w:val="1"/>
      <w:numFmt w:val="lowerLetter"/>
      <w:lvlText w:val="%5."/>
      <w:lvlJc w:val="left"/>
      <w:pPr>
        <w:ind w:left="3555" w:hanging="360"/>
      </w:pPr>
    </w:lvl>
    <w:lvl w:ilvl="5" w:tplc="0807001B" w:tentative="1">
      <w:start w:val="1"/>
      <w:numFmt w:val="lowerRoman"/>
      <w:lvlText w:val="%6."/>
      <w:lvlJc w:val="right"/>
      <w:pPr>
        <w:ind w:left="4275" w:hanging="180"/>
      </w:pPr>
    </w:lvl>
    <w:lvl w:ilvl="6" w:tplc="0807000F" w:tentative="1">
      <w:start w:val="1"/>
      <w:numFmt w:val="decimal"/>
      <w:lvlText w:val="%7."/>
      <w:lvlJc w:val="left"/>
      <w:pPr>
        <w:ind w:left="4995" w:hanging="360"/>
      </w:pPr>
    </w:lvl>
    <w:lvl w:ilvl="7" w:tplc="08070019" w:tentative="1">
      <w:start w:val="1"/>
      <w:numFmt w:val="lowerLetter"/>
      <w:lvlText w:val="%8."/>
      <w:lvlJc w:val="left"/>
      <w:pPr>
        <w:ind w:left="5715" w:hanging="360"/>
      </w:pPr>
    </w:lvl>
    <w:lvl w:ilvl="8" w:tplc="080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3"/>
  </w:num>
  <w:num w:numId="5">
    <w:abstractNumId w:val="17"/>
  </w:num>
  <w:num w:numId="6">
    <w:abstractNumId w:val="19"/>
  </w:num>
  <w:num w:numId="7">
    <w:abstractNumId w:val="6"/>
  </w:num>
  <w:num w:numId="8">
    <w:abstractNumId w:val="2"/>
  </w:num>
  <w:num w:numId="9">
    <w:abstractNumId w:val="2"/>
  </w:num>
  <w:num w:numId="10">
    <w:abstractNumId w:val="12"/>
  </w:num>
  <w:num w:numId="11">
    <w:abstractNumId w:val="18"/>
  </w:num>
  <w:num w:numId="12">
    <w:abstractNumId w:val="7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0"/>
  </w:num>
  <w:num w:numId="20">
    <w:abstractNumId w:val="9"/>
  </w:num>
  <w:num w:numId="21">
    <w:abstractNumId w:val="16"/>
  </w:num>
  <w:num w:numId="22">
    <w:abstractNumId w:val="10"/>
  </w:num>
  <w:num w:numId="23">
    <w:abstractNumId w:val="1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17"/>
    <w:rsid w:val="000140A8"/>
    <w:rsid w:val="000F4CE2"/>
    <w:rsid w:val="00175CDD"/>
    <w:rsid w:val="001C6D5A"/>
    <w:rsid w:val="001F2513"/>
    <w:rsid w:val="002E103C"/>
    <w:rsid w:val="0039271A"/>
    <w:rsid w:val="00393F38"/>
    <w:rsid w:val="003A7B39"/>
    <w:rsid w:val="003D2115"/>
    <w:rsid w:val="003D365A"/>
    <w:rsid w:val="004F01DC"/>
    <w:rsid w:val="00572DEF"/>
    <w:rsid w:val="00595F04"/>
    <w:rsid w:val="005A2E75"/>
    <w:rsid w:val="005F3685"/>
    <w:rsid w:val="005F45B5"/>
    <w:rsid w:val="006815D9"/>
    <w:rsid w:val="006C69E4"/>
    <w:rsid w:val="006F6B93"/>
    <w:rsid w:val="00720819"/>
    <w:rsid w:val="00835B20"/>
    <w:rsid w:val="00893E86"/>
    <w:rsid w:val="008C1FB6"/>
    <w:rsid w:val="0091730A"/>
    <w:rsid w:val="00924817"/>
    <w:rsid w:val="00954A71"/>
    <w:rsid w:val="009C34F8"/>
    <w:rsid w:val="00A821ED"/>
    <w:rsid w:val="00A85872"/>
    <w:rsid w:val="00AA274B"/>
    <w:rsid w:val="00AD466C"/>
    <w:rsid w:val="00AE0CF5"/>
    <w:rsid w:val="00B02F83"/>
    <w:rsid w:val="00C12274"/>
    <w:rsid w:val="00C219D8"/>
    <w:rsid w:val="00C74205"/>
    <w:rsid w:val="00CD23A2"/>
    <w:rsid w:val="00CF10B3"/>
    <w:rsid w:val="00D25AAC"/>
    <w:rsid w:val="00D738EC"/>
    <w:rsid w:val="00DA314E"/>
    <w:rsid w:val="00DC1DA1"/>
    <w:rsid w:val="00DF1FC5"/>
    <w:rsid w:val="00E5691C"/>
    <w:rsid w:val="00E63247"/>
    <w:rsid w:val="00EA5298"/>
    <w:rsid w:val="00EF3C75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1287D9BF"/>
  <w15:docId w15:val="{668AA4DA-22D2-4E86-9A72-EAC89940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34F8"/>
    <w:pPr>
      <w:spacing w:after="160" w:line="269" w:lineRule="auto"/>
      <w:jc w:val="both"/>
    </w:pPr>
    <w:rPr>
      <w:rFonts w:ascii="Arial" w:eastAsiaTheme="minorHAnsi" w:hAnsi="Arial" w:cs="Arial"/>
      <w:sz w:val="23"/>
      <w:szCs w:val="28"/>
      <w:lang w:val="de-CH" w:eastAsia="en-US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b/>
      <w:bCs/>
      <w:kern w:val="32"/>
      <w:sz w:val="24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b/>
      <w:bCs/>
      <w:iCs/>
      <w:sz w:val="22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D738EC"/>
    <w:pPr>
      <w:ind w:left="284" w:right="2408" w:hanging="284"/>
    </w:pPr>
    <w:rPr>
      <w:sz w:val="20"/>
    </w:rPr>
  </w:style>
  <w:style w:type="paragraph" w:styleId="Listenabsatz">
    <w:name w:val="List Paragraph"/>
    <w:basedOn w:val="Standard"/>
    <w:uiPriority w:val="34"/>
    <w:rsid w:val="00572DEF"/>
    <w:pPr>
      <w:spacing w:after="0" w:line="240" w:lineRule="auto"/>
      <w:ind w:left="720"/>
      <w:jc w:val="left"/>
    </w:pPr>
    <w:rPr>
      <w:rFonts w:ascii="Calibri" w:hAnsi="Calibri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  <w:jc w:val="left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FunotentextZchn">
    <w:name w:val="Fußnotentext Zchn"/>
    <w:basedOn w:val="Absatz-Standardschriftart"/>
    <w:link w:val="Funotentext"/>
    <w:semiHidden/>
    <w:rsid w:val="00D738EC"/>
    <w:rPr>
      <w:rFonts w:ascii="Arial" w:eastAsiaTheme="minorHAnsi" w:hAnsi="Arial" w:cs="Arial"/>
      <w:sz w:val="20"/>
      <w:szCs w:val="28"/>
      <w:lang w:val="de-CH" w:eastAsia="en-US"/>
    </w:rPr>
  </w:style>
  <w:style w:type="paragraph" w:customStyle="1" w:styleId="berschrift1Gesetz">
    <w:name w:val="Überschrift 1 Gesetz"/>
    <w:basedOn w:val="berschrift1"/>
    <w:qFormat/>
    <w:rsid w:val="009C34F8"/>
    <w:pPr>
      <w:numPr>
        <w:numId w:val="0"/>
      </w:numPr>
      <w:tabs>
        <w:tab w:val="left" w:pos="567"/>
      </w:tabs>
      <w:spacing w:before="480" w:after="160"/>
      <w:ind w:left="357" w:hanging="357"/>
      <w:contextualSpacing/>
    </w:pPr>
    <w:rPr>
      <w:bCs w:val="0"/>
      <w:kern w:val="0"/>
      <w:szCs w:val="28"/>
      <w:lang w:val="de-CH" w:eastAsia="en-US"/>
    </w:rPr>
  </w:style>
  <w:style w:type="paragraph" w:customStyle="1" w:styleId="berschrift3Gesetz">
    <w:name w:val="Überschrift 3 Gesetz"/>
    <w:basedOn w:val="berschrift3"/>
    <w:qFormat/>
    <w:rsid w:val="009C34F8"/>
    <w:pPr>
      <w:numPr>
        <w:numId w:val="0"/>
      </w:numPr>
      <w:tabs>
        <w:tab w:val="clear" w:pos="709"/>
      </w:tabs>
      <w:spacing w:before="360" w:after="120"/>
      <w:ind w:left="709" w:hanging="709"/>
    </w:pPr>
    <w:rPr>
      <w:bCs w:val="0"/>
      <w:sz w:val="21"/>
      <w:szCs w:val="22"/>
      <w:lang w:eastAsia="en-US"/>
    </w:rPr>
  </w:style>
  <w:style w:type="paragraph" w:customStyle="1" w:styleId="TextGesetz">
    <w:name w:val="Text Gesetz"/>
    <w:basedOn w:val="Standard"/>
    <w:qFormat/>
    <w:rsid w:val="009C34F8"/>
    <w:pPr>
      <w:widowControl w:val="0"/>
      <w:spacing w:after="120" w:line="271" w:lineRule="auto"/>
    </w:pPr>
    <w:rPr>
      <w:rFonts w:eastAsia="MS Mincho"/>
      <w:sz w:val="21"/>
      <w:szCs w:val="20"/>
      <w:lang w:val="de-DE" w:eastAsia="ja-JP"/>
    </w:rPr>
  </w:style>
  <w:style w:type="character" w:styleId="Funotenzeichen">
    <w:name w:val="footnote reference"/>
    <w:basedOn w:val="Absatz-Standardschriftart"/>
    <w:uiPriority w:val="99"/>
    <w:semiHidden/>
    <w:unhideWhenUsed/>
    <w:rsid w:val="009C34F8"/>
    <w:rPr>
      <w:vertAlign w:val="superscript"/>
    </w:rPr>
  </w:style>
  <w:style w:type="paragraph" w:customStyle="1" w:styleId="berschrift2Gesetz">
    <w:name w:val="Überschrift 2 Gesetz"/>
    <w:basedOn w:val="berschrift2"/>
    <w:qFormat/>
    <w:rsid w:val="009C34F8"/>
    <w:pPr>
      <w:tabs>
        <w:tab w:val="clear" w:pos="720"/>
      </w:tabs>
      <w:spacing w:after="120"/>
    </w:pPr>
    <w:rPr>
      <w:bCs w:val="0"/>
      <w:iCs w:val="0"/>
      <w:lang w:eastAsia="en-US"/>
    </w:rPr>
  </w:style>
  <w:style w:type="table" w:styleId="Tabellenraster">
    <w:name w:val="Table Grid"/>
    <w:basedOn w:val="NormaleTabelle"/>
    <w:rsid w:val="009C3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EA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A5298"/>
    <w:rPr>
      <w:rFonts w:ascii="Segoe UI" w:eastAsiaTheme="minorHAnsi" w:hAnsi="Segoe UI" w:cs="Segoe UI"/>
      <w:sz w:val="18"/>
      <w:szCs w:val="18"/>
      <w:lang w:val="de-CH" w:eastAsia="en-US"/>
    </w:rPr>
  </w:style>
  <w:style w:type="paragraph" w:customStyle="1" w:styleId="Einzug">
    <w:name w:val="Einzug"/>
    <w:basedOn w:val="Textkrper-Zeileneinzug"/>
    <w:rsid w:val="005F45B5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5F45B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F45B5"/>
    <w:rPr>
      <w:rFonts w:ascii="Arial" w:eastAsiaTheme="minorHAnsi" w:hAnsi="Arial" w:cs="Arial"/>
      <w:sz w:val="23"/>
      <w:szCs w:val="28"/>
      <w:lang w:val="de-CH" w:eastAsia="en-US"/>
    </w:rPr>
  </w:style>
  <w:style w:type="paragraph" w:customStyle="1" w:styleId="Formatvorlageberschrift3GesetzVor9Pt">
    <w:name w:val="Formatvorlage Überschrift 3 Gesetz + Vor:  9 Pt."/>
    <w:basedOn w:val="berschrift3Gesetz"/>
    <w:rsid w:val="005F45B5"/>
    <w:pPr>
      <w:spacing w:before="240"/>
    </w:pPr>
    <w:rPr>
      <w:rFonts w:eastAsia="Times New Roman" w:cs="Times New Roman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078FE-7323-48F0-8BCA-C02B3698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2A57D-B20C-4BB8-BD74-E0BB23A1AF8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d999939-2a46-46d1-8935-28b39244f330"/>
    <ds:schemaRef ds:uri="http://schemas.microsoft.com/sharepoint/v3"/>
    <ds:schemaRef ds:uri="http://purl.org/dc/terms/"/>
    <ds:schemaRef ds:uri="http://schemas.openxmlformats.org/package/2006/metadata/core-properties"/>
    <ds:schemaRef ds:uri="b9bbc5c3-42c9-4c30-b7a3-3f0c5e2a53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E20979-4DD4-45BF-807C-4549019E4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4</Pages>
  <Words>678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Fondsreglement Mehrwertausgleich_docx</vt:lpstr>
    </vt:vector>
  </TitlesOfParts>
  <Company>WinJur AG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Fondsreglement Mehrwertausgleich_docx</dc:title>
  <dc:creator>Corina Caluori</dc:creator>
  <cp:lastModifiedBy>Broder Toni</cp:lastModifiedBy>
  <cp:revision>4</cp:revision>
  <cp:lastPrinted>2021-12-07T16:11:00Z</cp:lastPrinted>
  <dcterms:created xsi:type="dcterms:W3CDTF">2021-12-07T14:27:00Z</dcterms:created>
  <dcterms:modified xsi:type="dcterms:W3CDTF">2022-01-03T15:40:00Z</dcterms:modified>
  <cp:category>Mehrwertabgabe (MWA) – Bemessung, Veranlagung und Vollzug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