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7CFA4" w14:textId="77777777" w:rsidR="00681B54" w:rsidRPr="005400C1" w:rsidRDefault="00681B54" w:rsidP="007348BC">
      <w:pPr>
        <w:spacing w:after="0" w:line="312" w:lineRule="auto"/>
        <w:rPr>
          <w:rFonts w:ascii="Arial" w:hAnsi="Arial" w:cs="Arial"/>
          <w:lang w:val="it-IT"/>
        </w:rPr>
      </w:pPr>
      <w:r w:rsidRPr="005400C1">
        <w:rPr>
          <w:rFonts w:ascii="Arial" w:hAnsi="Arial"/>
          <w:lang w:val="it-IT"/>
        </w:rPr>
        <w:t>Comune di [</w:t>
      </w:r>
      <w:r w:rsidRPr="005400C1">
        <w:rPr>
          <w:rFonts w:ascii="Arial" w:hAnsi="Arial"/>
          <w:highlight w:val="lightGray"/>
          <w:lang w:val="it-IT"/>
        </w:rPr>
        <w:t>…</w:t>
      </w:r>
      <w:r w:rsidRPr="005400C1">
        <w:rPr>
          <w:rFonts w:ascii="Arial" w:hAnsi="Arial"/>
          <w:lang w:val="it-IT"/>
        </w:rPr>
        <w:t>]</w:t>
      </w:r>
    </w:p>
    <w:p w14:paraId="0105C177" w14:textId="77777777" w:rsidR="00681B54" w:rsidRPr="005400C1" w:rsidRDefault="00681B54" w:rsidP="007348BC">
      <w:pPr>
        <w:spacing w:after="0" w:line="312" w:lineRule="auto"/>
        <w:rPr>
          <w:rFonts w:ascii="Arial" w:hAnsi="Arial" w:cs="Arial"/>
          <w:lang w:val="it-IT"/>
        </w:rPr>
      </w:pPr>
      <w:r w:rsidRPr="005400C1">
        <w:rPr>
          <w:rFonts w:ascii="Arial" w:hAnsi="Arial"/>
          <w:lang w:val="it-IT"/>
        </w:rPr>
        <w:t>[</w:t>
      </w:r>
      <w:r w:rsidRPr="005400C1">
        <w:rPr>
          <w:rFonts w:ascii="Arial" w:hAnsi="Arial"/>
          <w:highlight w:val="lightGray"/>
          <w:lang w:val="it-IT"/>
        </w:rPr>
        <w:t>Indirizzo</w:t>
      </w:r>
      <w:r w:rsidRPr="005400C1">
        <w:rPr>
          <w:rFonts w:ascii="Arial" w:hAnsi="Arial"/>
          <w:lang w:val="it-IT"/>
        </w:rPr>
        <w:t>]</w:t>
      </w:r>
    </w:p>
    <w:p w14:paraId="54DBA182" w14:textId="77777777" w:rsidR="00681B54" w:rsidRPr="005400C1" w:rsidRDefault="00681B54" w:rsidP="007348BC">
      <w:pPr>
        <w:spacing w:after="0" w:line="312" w:lineRule="auto"/>
        <w:rPr>
          <w:rFonts w:ascii="Arial" w:hAnsi="Arial" w:cs="Arial"/>
          <w:lang w:val="it-IT"/>
        </w:rPr>
      </w:pPr>
      <w:r w:rsidRPr="005400C1">
        <w:rPr>
          <w:rFonts w:ascii="Arial" w:hAnsi="Arial"/>
          <w:lang w:val="it-IT"/>
        </w:rPr>
        <w:t>[</w:t>
      </w:r>
      <w:r w:rsidRPr="005400C1">
        <w:rPr>
          <w:rFonts w:ascii="Arial" w:hAnsi="Arial"/>
          <w:highlight w:val="lightGray"/>
          <w:lang w:val="it-IT"/>
        </w:rPr>
        <w:t>NPA luogo</w:t>
      </w:r>
      <w:r w:rsidRPr="005400C1">
        <w:rPr>
          <w:rFonts w:ascii="Arial" w:hAnsi="Arial"/>
          <w:lang w:val="it-IT"/>
        </w:rPr>
        <w:t>]</w:t>
      </w:r>
    </w:p>
    <w:p w14:paraId="08CFE9AC" w14:textId="77777777" w:rsidR="00681B54" w:rsidRPr="005400C1" w:rsidRDefault="00681B54" w:rsidP="00681B54">
      <w:pPr>
        <w:spacing w:after="0" w:line="312" w:lineRule="auto"/>
        <w:rPr>
          <w:rFonts w:ascii="Arial" w:hAnsi="Arial" w:cs="Arial"/>
          <w:lang w:val="it-IT"/>
        </w:rPr>
      </w:pPr>
    </w:p>
    <w:p w14:paraId="2B442A93" w14:textId="77777777" w:rsidR="00681B54" w:rsidRPr="005400C1" w:rsidRDefault="0065730C" w:rsidP="007348BC">
      <w:pPr>
        <w:spacing w:after="0" w:line="312" w:lineRule="auto"/>
        <w:ind w:left="4956" w:firstLine="708"/>
        <w:rPr>
          <w:rFonts w:ascii="Arial" w:hAnsi="Arial" w:cs="Arial"/>
          <w:lang w:val="it-IT"/>
        </w:rPr>
      </w:pPr>
      <w:r w:rsidRPr="005400C1">
        <w:rPr>
          <w:rFonts w:ascii="Arial" w:hAnsi="Arial"/>
          <w:lang w:val="it-IT"/>
        </w:rPr>
        <w:t>[</w:t>
      </w:r>
      <w:r w:rsidRPr="005400C1">
        <w:rPr>
          <w:rFonts w:ascii="Arial" w:hAnsi="Arial"/>
          <w:highlight w:val="lightGray"/>
          <w:lang w:val="it-IT"/>
        </w:rPr>
        <w:t>Proprietario/a del fondo</w:t>
      </w:r>
      <w:r w:rsidRPr="005400C1">
        <w:rPr>
          <w:rFonts w:ascii="Arial" w:hAnsi="Arial"/>
          <w:lang w:val="it-IT"/>
        </w:rPr>
        <w:t>]</w:t>
      </w:r>
    </w:p>
    <w:p w14:paraId="712220FE" w14:textId="77777777" w:rsidR="0065730C" w:rsidRPr="005400C1" w:rsidRDefault="0065730C" w:rsidP="007348BC">
      <w:pPr>
        <w:spacing w:after="0" w:line="312" w:lineRule="auto"/>
        <w:ind w:left="4956" w:firstLine="708"/>
        <w:rPr>
          <w:rFonts w:ascii="Arial" w:hAnsi="Arial" w:cs="Arial"/>
          <w:lang w:val="it-IT"/>
        </w:rPr>
      </w:pPr>
      <w:r w:rsidRPr="005400C1">
        <w:rPr>
          <w:rFonts w:ascii="Arial" w:hAnsi="Arial"/>
          <w:lang w:val="it-IT"/>
        </w:rPr>
        <w:t>[</w:t>
      </w:r>
      <w:r w:rsidRPr="005400C1">
        <w:rPr>
          <w:rFonts w:ascii="Arial" w:hAnsi="Arial"/>
          <w:highlight w:val="lightGray"/>
          <w:lang w:val="it-IT"/>
        </w:rPr>
        <w:t>Indirizzo</w:t>
      </w:r>
      <w:r w:rsidRPr="005400C1">
        <w:rPr>
          <w:rFonts w:ascii="Arial" w:hAnsi="Arial"/>
          <w:lang w:val="it-IT"/>
        </w:rPr>
        <w:t>]</w:t>
      </w:r>
    </w:p>
    <w:p w14:paraId="45589713" w14:textId="77777777" w:rsidR="0065730C" w:rsidRPr="005400C1" w:rsidRDefault="0065730C" w:rsidP="007348BC">
      <w:pPr>
        <w:spacing w:after="0" w:line="312" w:lineRule="auto"/>
        <w:ind w:left="4956" w:firstLine="708"/>
        <w:rPr>
          <w:rFonts w:ascii="Arial" w:hAnsi="Arial" w:cs="Arial"/>
          <w:lang w:val="it-IT"/>
        </w:rPr>
      </w:pPr>
      <w:r w:rsidRPr="005400C1">
        <w:rPr>
          <w:rFonts w:ascii="Arial" w:hAnsi="Arial"/>
          <w:lang w:val="it-IT"/>
        </w:rPr>
        <w:t>[</w:t>
      </w:r>
      <w:r w:rsidRPr="005400C1">
        <w:rPr>
          <w:rFonts w:ascii="Arial" w:hAnsi="Arial"/>
          <w:highlight w:val="lightGray"/>
          <w:lang w:val="it-IT"/>
        </w:rPr>
        <w:t>NPA luogo</w:t>
      </w:r>
      <w:r w:rsidRPr="005400C1">
        <w:rPr>
          <w:rFonts w:ascii="Arial" w:hAnsi="Arial"/>
          <w:lang w:val="it-IT"/>
        </w:rPr>
        <w:t>]</w:t>
      </w:r>
    </w:p>
    <w:p w14:paraId="72A895D5" w14:textId="77777777" w:rsidR="00681B54" w:rsidRPr="005400C1" w:rsidRDefault="00681B54" w:rsidP="00681B54">
      <w:pPr>
        <w:spacing w:after="0" w:line="312" w:lineRule="auto"/>
        <w:rPr>
          <w:rFonts w:ascii="Arial" w:hAnsi="Arial" w:cs="Arial"/>
          <w:b/>
          <w:lang w:val="it-IT"/>
        </w:rPr>
      </w:pPr>
    </w:p>
    <w:p w14:paraId="4888F5BA" w14:textId="77777777" w:rsidR="00681B54" w:rsidRPr="005400C1" w:rsidRDefault="00681B54" w:rsidP="00681B54">
      <w:pPr>
        <w:spacing w:after="0" w:line="312" w:lineRule="auto"/>
        <w:rPr>
          <w:rFonts w:ascii="Arial" w:hAnsi="Arial" w:cs="Arial"/>
          <w:b/>
          <w:lang w:val="it-IT"/>
        </w:rPr>
      </w:pPr>
    </w:p>
    <w:p w14:paraId="4947C965" w14:textId="77777777" w:rsidR="00681B54" w:rsidRPr="005400C1" w:rsidRDefault="00681B54" w:rsidP="007348BC">
      <w:pPr>
        <w:spacing w:after="0" w:line="312" w:lineRule="auto"/>
        <w:ind w:left="4956" w:firstLine="708"/>
        <w:rPr>
          <w:rFonts w:ascii="Arial" w:hAnsi="Arial" w:cs="Arial"/>
          <w:lang w:val="it-IT"/>
        </w:rPr>
      </w:pPr>
      <w:r w:rsidRPr="005400C1">
        <w:rPr>
          <w:rFonts w:ascii="Arial" w:hAnsi="Arial"/>
          <w:lang w:val="it-IT"/>
        </w:rPr>
        <w:t>[</w:t>
      </w:r>
      <w:r w:rsidRPr="005400C1">
        <w:rPr>
          <w:rFonts w:ascii="Arial" w:hAnsi="Arial"/>
          <w:highlight w:val="lightGray"/>
          <w:lang w:val="it-IT"/>
        </w:rPr>
        <w:t>Luogo, data</w:t>
      </w:r>
      <w:r w:rsidRPr="005400C1">
        <w:rPr>
          <w:rFonts w:ascii="Arial" w:hAnsi="Arial"/>
          <w:lang w:val="it-IT"/>
        </w:rPr>
        <w:t>]</w:t>
      </w:r>
    </w:p>
    <w:p w14:paraId="620605F3" w14:textId="77777777" w:rsidR="00681B54" w:rsidRPr="005400C1" w:rsidRDefault="00681B54" w:rsidP="00681B54">
      <w:pPr>
        <w:spacing w:after="0" w:line="312" w:lineRule="auto"/>
        <w:rPr>
          <w:rFonts w:ascii="Arial" w:hAnsi="Arial" w:cs="Arial"/>
          <w:b/>
          <w:lang w:val="it-IT"/>
        </w:rPr>
      </w:pPr>
    </w:p>
    <w:p w14:paraId="1C1F2873" w14:textId="77777777" w:rsidR="00A14DB6" w:rsidRPr="005400C1" w:rsidRDefault="00A14DB6" w:rsidP="00681B54">
      <w:pPr>
        <w:spacing w:after="0" w:line="312" w:lineRule="auto"/>
        <w:rPr>
          <w:rFonts w:ascii="Arial" w:hAnsi="Arial" w:cs="Arial"/>
          <w:b/>
          <w:lang w:val="it-IT"/>
        </w:rPr>
      </w:pPr>
    </w:p>
    <w:p w14:paraId="725F9034" w14:textId="20286BE8" w:rsidR="001057C0" w:rsidRPr="005400C1" w:rsidRDefault="00A14DB6" w:rsidP="00681B54">
      <w:pPr>
        <w:spacing w:after="0" w:line="312" w:lineRule="auto"/>
        <w:rPr>
          <w:rFonts w:ascii="Arial" w:hAnsi="Arial" w:cs="Arial"/>
          <w:b/>
          <w:lang w:val="it-IT"/>
        </w:rPr>
      </w:pPr>
      <w:r w:rsidRPr="005400C1">
        <w:rPr>
          <w:rFonts w:ascii="Arial" w:hAnsi="Arial"/>
          <w:b/>
          <w:lang w:val="it-IT"/>
        </w:rPr>
        <w:t xml:space="preserve">Informazione delle persone potenzialmente interessate da una tassa sul plusvalore </w:t>
      </w:r>
      <w:r w:rsidR="005400C1" w:rsidRPr="005400C1">
        <w:rPr>
          <w:rFonts w:ascii="Arial" w:hAnsi="Arial"/>
          <w:b/>
          <w:lang w:val="it-IT"/>
        </w:rPr>
        <w:t xml:space="preserve">attraverso </w:t>
      </w:r>
      <w:r w:rsidRPr="005400C1">
        <w:rPr>
          <w:rFonts w:ascii="Arial" w:hAnsi="Arial"/>
          <w:b/>
          <w:lang w:val="it-IT"/>
        </w:rPr>
        <w:t>l'esposizione di partecipazione per la revisione [</w:t>
      </w:r>
      <w:r w:rsidRPr="005400C1">
        <w:rPr>
          <w:rFonts w:ascii="Arial" w:hAnsi="Arial"/>
          <w:b/>
          <w:highlight w:val="lightGray"/>
          <w:lang w:val="it-IT"/>
        </w:rPr>
        <w:t>parziale</w:t>
      </w:r>
      <w:r w:rsidRPr="005400C1">
        <w:rPr>
          <w:rFonts w:ascii="Arial" w:hAnsi="Arial"/>
          <w:b/>
          <w:lang w:val="it-IT"/>
        </w:rPr>
        <w:t>] della pianificazione locale</w:t>
      </w:r>
    </w:p>
    <w:p w14:paraId="572BFF38" w14:textId="77777777" w:rsidR="001057C0" w:rsidRPr="005400C1" w:rsidRDefault="001057C0" w:rsidP="00681B54">
      <w:pPr>
        <w:spacing w:after="0" w:line="312" w:lineRule="auto"/>
        <w:rPr>
          <w:rFonts w:ascii="Arial" w:hAnsi="Arial" w:cs="Arial"/>
          <w:b/>
          <w:lang w:val="it-IT"/>
        </w:rPr>
      </w:pPr>
    </w:p>
    <w:p w14:paraId="4DEAE993" w14:textId="77777777" w:rsidR="00A14DB6" w:rsidRPr="005400C1" w:rsidRDefault="00A14DB6" w:rsidP="00681B54">
      <w:pPr>
        <w:spacing w:after="0" w:line="312" w:lineRule="auto"/>
        <w:rPr>
          <w:rFonts w:ascii="Arial" w:hAnsi="Arial" w:cs="Arial"/>
          <w:lang w:val="it-IT"/>
        </w:rPr>
      </w:pPr>
    </w:p>
    <w:p w14:paraId="480F8B43" w14:textId="77777777" w:rsidR="001057C0" w:rsidRPr="005400C1" w:rsidRDefault="001057C0" w:rsidP="001057C0">
      <w:pPr>
        <w:pStyle w:val="Anrede1"/>
        <w:rPr>
          <w:rFonts w:ascii="Arial" w:hAnsi="Arial" w:cs="Arial"/>
          <w:sz w:val="22"/>
          <w:szCs w:val="22"/>
          <w:lang w:val="it-IT"/>
        </w:rPr>
      </w:pPr>
      <w:r w:rsidRPr="005400C1">
        <w:rPr>
          <w:rFonts w:ascii="Arial" w:hAnsi="Arial"/>
          <w:sz w:val="22"/>
          <w:lang w:val="it-IT"/>
        </w:rPr>
        <w:t>[</w:t>
      </w:r>
      <w:r w:rsidRPr="005400C1">
        <w:rPr>
          <w:rFonts w:ascii="Arial" w:hAnsi="Arial"/>
          <w:sz w:val="22"/>
          <w:highlight w:val="lightGray"/>
          <w:lang w:val="it-IT"/>
        </w:rPr>
        <w:t>Gentile signora …/Egregio signor …</w:t>
      </w:r>
      <w:r w:rsidRPr="005400C1">
        <w:rPr>
          <w:rFonts w:ascii="Arial" w:hAnsi="Arial"/>
          <w:sz w:val="22"/>
          <w:lang w:val="it-IT"/>
        </w:rPr>
        <w:t>],</w:t>
      </w:r>
    </w:p>
    <w:p w14:paraId="175E6189" w14:textId="77777777" w:rsidR="00610C87" w:rsidRPr="005400C1" w:rsidRDefault="00F54BD6" w:rsidP="001057C0">
      <w:pPr>
        <w:rPr>
          <w:rFonts w:ascii="Arial" w:hAnsi="Arial" w:cs="Arial"/>
          <w:lang w:val="it-IT"/>
        </w:rPr>
      </w:pPr>
      <w:r w:rsidRPr="005400C1">
        <w:rPr>
          <w:rFonts w:ascii="Arial" w:hAnsi="Arial"/>
          <w:lang w:val="it-IT"/>
        </w:rPr>
        <w:t>il Municipio del Comune di [</w:t>
      </w:r>
      <w:r w:rsidRPr="005400C1">
        <w:rPr>
          <w:rFonts w:ascii="Arial" w:hAnsi="Arial"/>
          <w:highlight w:val="lightGray"/>
          <w:lang w:val="it-IT"/>
        </w:rPr>
        <w:t>…</w:t>
      </w:r>
      <w:r w:rsidRPr="005400C1">
        <w:rPr>
          <w:rFonts w:ascii="Arial" w:hAnsi="Arial"/>
          <w:lang w:val="it-IT"/>
        </w:rPr>
        <w:t>] intende procedere a una revisione [</w:t>
      </w:r>
      <w:r w:rsidRPr="005400C1">
        <w:rPr>
          <w:rFonts w:ascii="Arial" w:hAnsi="Arial"/>
          <w:highlight w:val="lightGray"/>
          <w:lang w:val="it-IT"/>
        </w:rPr>
        <w:t>parziale</w:t>
      </w:r>
      <w:r w:rsidRPr="005400C1">
        <w:rPr>
          <w:rFonts w:ascii="Arial" w:hAnsi="Arial"/>
          <w:lang w:val="it-IT"/>
        </w:rPr>
        <w:t>] della [</w:t>
      </w:r>
      <w:r w:rsidRPr="005400C1">
        <w:rPr>
          <w:rFonts w:ascii="Arial" w:hAnsi="Arial"/>
          <w:highlight w:val="lightGray"/>
          <w:lang w:val="it-IT"/>
        </w:rPr>
        <w:t>pianificazione locale</w:t>
      </w:r>
      <w:r w:rsidRPr="005400C1">
        <w:rPr>
          <w:rFonts w:ascii="Arial" w:hAnsi="Arial"/>
          <w:lang w:val="it-IT"/>
        </w:rPr>
        <w:t>]. Per questa ragione in data [</w:t>
      </w:r>
      <w:r w:rsidRPr="005400C1">
        <w:rPr>
          <w:rFonts w:ascii="Arial" w:hAnsi="Arial"/>
          <w:highlight w:val="lightGray"/>
          <w:lang w:val="it-IT"/>
        </w:rPr>
        <w:t>data</w:t>
      </w:r>
      <w:r w:rsidRPr="005400C1">
        <w:rPr>
          <w:rFonts w:ascii="Arial" w:hAnsi="Arial"/>
          <w:lang w:val="it-IT"/>
        </w:rPr>
        <w:t>] ha approvato una bozza delle nuove prescrizioni e dei nuovi piani, un rapporto di pianificazione e di partecipazione e [</w:t>
      </w:r>
      <w:r w:rsidRPr="005400C1">
        <w:rPr>
          <w:rFonts w:ascii="Arial" w:hAnsi="Arial"/>
          <w:highlight w:val="lightGray"/>
          <w:lang w:val="it-IT"/>
        </w:rPr>
        <w:t>altri documenti</w:t>
      </w:r>
      <w:r w:rsidRPr="005400C1">
        <w:rPr>
          <w:rFonts w:ascii="Arial" w:hAnsi="Arial"/>
          <w:lang w:val="it-IT"/>
        </w:rPr>
        <w:t>].</w:t>
      </w:r>
    </w:p>
    <w:p w14:paraId="1AD0703B" w14:textId="77777777" w:rsidR="001057C0" w:rsidRPr="005400C1" w:rsidRDefault="001057C0" w:rsidP="001057C0">
      <w:pPr>
        <w:rPr>
          <w:rFonts w:ascii="Arial" w:hAnsi="Arial" w:cs="Arial"/>
          <w:lang w:val="it-IT"/>
        </w:rPr>
      </w:pPr>
      <w:r w:rsidRPr="005400C1">
        <w:rPr>
          <w:rFonts w:ascii="Arial" w:hAnsi="Arial"/>
          <w:lang w:val="it-IT"/>
        </w:rPr>
        <w:t>La relativa documentazione è esposta pubblicamente per 30 giorni nel Comune a partire dal [</w:t>
      </w:r>
      <w:r w:rsidRPr="005400C1">
        <w:rPr>
          <w:rFonts w:ascii="Arial" w:hAnsi="Arial"/>
          <w:highlight w:val="lightGray"/>
          <w:lang w:val="it-IT"/>
        </w:rPr>
        <w:t>…</w:t>
      </w:r>
      <w:r w:rsidRPr="005400C1">
        <w:rPr>
          <w:rFonts w:ascii="Arial" w:hAnsi="Arial"/>
          <w:lang w:val="it-IT"/>
        </w:rPr>
        <w:t xml:space="preserve">]. L'esposizione viene resa nota nella debita forma nell'organo di pubblicazione ufficiale del Comune e nel Foglio ufficiale cantonale. Entro il periodo d'esposizione chiunque può presentare proposte e sollevare obiezioni a destinazione del Municipio. </w:t>
      </w:r>
    </w:p>
    <w:p w14:paraId="496E4865" w14:textId="77777777" w:rsidR="00C2743F" w:rsidRPr="005400C1" w:rsidRDefault="001057C0" w:rsidP="001057C0">
      <w:pPr>
        <w:rPr>
          <w:rFonts w:ascii="Arial" w:hAnsi="Arial" w:cs="Arial"/>
          <w:lang w:val="it-IT"/>
        </w:rPr>
      </w:pPr>
      <w:r w:rsidRPr="005400C1">
        <w:rPr>
          <w:rFonts w:ascii="Arial" w:hAnsi="Arial"/>
          <w:lang w:val="it-IT"/>
        </w:rPr>
        <w:t>Attualmente il fondo n. [</w:t>
      </w:r>
      <w:r w:rsidRPr="005400C1">
        <w:rPr>
          <w:rFonts w:ascii="Arial" w:hAnsi="Arial"/>
          <w:highlight w:val="lightGray"/>
          <w:lang w:val="it-IT"/>
        </w:rPr>
        <w:t>…</w:t>
      </w:r>
      <w:r w:rsidRPr="005400C1">
        <w:rPr>
          <w:rFonts w:ascii="Arial" w:hAnsi="Arial"/>
          <w:lang w:val="it-IT"/>
        </w:rPr>
        <w:t>] di Sua proprietà si trova in una zona non edificabile</w:t>
      </w:r>
      <w:r w:rsidR="007659C2" w:rsidRPr="005400C1">
        <w:rPr>
          <w:rStyle w:val="Funotenzeichen"/>
          <w:rFonts w:ascii="Arial" w:hAnsi="Arial" w:cs="Arial"/>
          <w:lang w:val="it-IT"/>
        </w:rPr>
        <w:footnoteReference w:id="1"/>
      </w:r>
      <w:r w:rsidRPr="005400C1">
        <w:rPr>
          <w:rFonts w:ascii="Arial" w:hAnsi="Arial"/>
          <w:lang w:val="it-IT"/>
        </w:rPr>
        <w:t xml:space="preserve">. Qualora la prevista revisione della pianificazione locale dovesse entrare in vigore, il fondo con una superficie pari a </w:t>
      </w:r>
      <w:proofErr w:type="spellStart"/>
      <w:r w:rsidRPr="005400C1">
        <w:rPr>
          <w:rFonts w:ascii="Arial" w:hAnsi="Arial"/>
          <w:lang w:val="it-IT"/>
        </w:rPr>
        <w:t>ca</w:t>
      </w:r>
      <w:proofErr w:type="spellEnd"/>
      <w:r w:rsidRPr="005400C1">
        <w:rPr>
          <w:rFonts w:ascii="Arial" w:hAnsi="Arial"/>
          <w:lang w:val="it-IT"/>
        </w:rPr>
        <w:t>. [</w:t>
      </w:r>
      <w:r w:rsidRPr="005400C1">
        <w:rPr>
          <w:rFonts w:ascii="Arial" w:hAnsi="Arial"/>
          <w:highlight w:val="lightGray"/>
          <w:lang w:val="it-IT"/>
        </w:rPr>
        <w:t>…</w:t>
      </w:r>
      <w:r w:rsidRPr="005400C1">
        <w:rPr>
          <w:rFonts w:ascii="Arial" w:hAnsi="Arial"/>
          <w:lang w:val="it-IT"/>
        </w:rPr>
        <w:t>] m</w:t>
      </w:r>
      <w:r w:rsidRPr="005400C1">
        <w:rPr>
          <w:rFonts w:ascii="Arial" w:hAnsi="Arial"/>
          <w:vertAlign w:val="superscript"/>
          <w:lang w:val="it-IT"/>
        </w:rPr>
        <w:t>2</w:t>
      </w:r>
      <w:r w:rsidRPr="005400C1">
        <w:rPr>
          <w:rFonts w:ascii="Arial" w:hAnsi="Arial"/>
          <w:lang w:val="it-IT"/>
        </w:rPr>
        <w:t xml:space="preserve"> verrà attribuito alla zona edificabile. Conformemente all'art. 19j cpv. 1 LPTC</w:t>
      </w:r>
      <w:r w:rsidR="00610C87" w:rsidRPr="005400C1">
        <w:rPr>
          <w:rStyle w:val="Funotenzeichen"/>
          <w:rFonts w:ascii="Arial" w:hAnsi="Arial" w:cs="Arial"/>
          <w:lang w:val="it-IT"/>
        </w:rPr>
        <w:footnoteReference w:id="2"/>
      </w:r>
      <w:r w:rsidRPr="005400C1">
        <w:rPr>
          <w:rFonts w:ascii="Arial" w:hAnsi="Arial"/>
          <w:lang w:val="it-IT"/>
        </w:rPr>
        <w:t xml:space="preserve"> tale azzonamento comporta l'assoggettamento alla tassa per il plusvalore di pianificazione risultante. I proprietari del fondo devono versare la tassa sul plusvalore al comune (art. 19i LPTC) ed essa diventa esigibile in caso di edificazione o di alienazione del fondo (art. 19n LPTC).</w:t>
      </w:r>
    </w:p>
    <w:p w14:paraId="26DC370A" w14:textId="77777777" w:rsidR="00413050" w:rsidRPr="005400C1" w:rsidRDefault="00C2743F" w:rsidP="001057C0">
      <w:pPr>
        <w:rPr>
          <w:rFonts w:ascii="Arial" w:hAnsi="Arial" w:cs="Arial"/>
          <w:lang w:val="it-IT"/>
        </w:rPr>
      </w:pPr>
      <w:r w:rsidRPr="005400C1">
        <w:rPr>
          <w:rFonts w:ascii="Arial" w:hAnsi="Arial"/>
          <w:lang w:val="it-IT"/>
        </w:rPr>
        <w:t xml:space="preserve">Conformemente </w:t>
      </w:r>
      <w:r w:rsidRPr="005400C1">
        <w:rPr>
          <w:rFonts w:ascii="Arial" w:hAnsi="Arial"/>
          <w:highlight w:val="lightGray"/>
          <w:lang w:val="it-IT"/>
        </w:rPr>
        <w:t>[all'art. 19l cpv. 1 LPTC/art.… LE/</w:t>
      </w:r>
      <w:r w:rsidRPr="005400C1">
        <w:rPr>
          <w:rFonts w:ascii="Arial" w:hAnsi="Arial"/>
          <w:lang w:val="it-IT"/>
        </w:rPr>
        <w:t>] la tassa sul plusvalore riguardo ad azzonamenti ammonta al [</w:t>
      </w:r>
      <w:r w:rsidRPr="005400C1">
        <w:rPr>
          <w:rFonts w:ascii="Arial" w:hAnsi="Arial"/>
          <w:highlight w:val="lightGray"/>
          <w:lang w:val="it-IT"/>
        </w:rPr>
        <w:t>…</w:t>
      </w:r>
      <w:r w:rsidRPr="005400C1">
        <w:rPr>
          <w:rFonts w:ascii="Arial" w:hAnsi="Arial"/>
          <w:lang w:val="it-IT"/>
        </w:rPr>
        <w:t xml:space="preserve">] per cento del plusvalore. Il plusvalore determinante della </w:t>
      </w:r>
      <w:r w:rsidRPr="005400C1">
        <w:rPr>
          <w:rFonts w:ascii="Arial" w:hAnsi="Arial"/>
          <w:lang w:val="it-IT"/>
        </w:rPr>
        <w:lastRenderedPageBreak/>
        <w:t xml:space="preserve">superficie del Suo fondo interessata dall'azzonamento corrisponde alla differenza tra il valore venale senza e con la misura di pianificazione. </w:t>
      </w:r>
    </w:p>
    <w:p w14:paraId="69384722" w14:textId="77777777" w:rsidR="009F0F1D" w:rsidRPr="005400C1" w:rsidRDefault="009F0F1D" w:rsidP="001057C0">
      <w:pPr>
        <w:rPr>
          <w:rFonts w:ascii="Arial" w:hAnsi="Arial" w:cs="Arial"/>
          <w:lang w:val="it-IT"/>
        </w:rPr>
      </w:pPr>
    </w:p>
    <w:p w14:paraId="2F0DCEA6" w14:textId="3B31E376" w:rsidR="00EE19D7" w:rsidRPr="005400C1" w:rsidRDefault="00DF5894" w:rsidP="001057C0">
      <w:pPr>
        <w:rPr>
          <w:rFonts w:ascii="Arial" w:hAnsi="Arial" w:cs="Arial"/>
          <w:highlight w:val="lightGray"/>
          <w:lang w:val="it-IT"/>
        </w:rPr>
      </w:pPr>
      <w:r w:rsidRPr="005400C1">
        <w:rPr>
          <w:rFonts w:ascii="Arial" w:hAnsi="Arial"/>
          <w:highlight w:val="lightGray"/>
          <w:lang w:val="it-IT"/>
        </w:rPr>
        <w:t>[</w:t>
      </w:r>
      <w:r w:rsidRPr="005400C1">
        <w:rPr>
          <w:rFonts w:ascii="Arial" w:hAnsi="Arial"/>
          <w:b/>
          <w:highlight w:val="lightGray"/>
          <w:lang w:val="it-IT"/>
        </w:rPr>
        <w:t>Variante per il caso normale</w:t>
      </w:r>
      <w:r w:rsidRPr="005400C1">
        <w:rPr>
          <w:rFonts w:ascii="Arial" w:hAnsi="Arial"/>
          <w:highlight w:val="lightGray"/>
          <w:lang w:val="it-IT"/>
        </w:rPr>
        <w:t xml:space="preserve">: </w:t>
      </w:r>
      <w:r w:rsidR="005400C1">
        <w:rPr>
          <w:rFonts w:ascii="Arial" w:hAnsi="Arial"/>
          <w:highlight w:val="lightGray"/>
          <w:lang w:val="it-IT"/>
        </w:rPr>
        <w:t>i</w:t>
      </w:r>
      <w:r w:rsidRPr="005400C1">
        <w:rPr>
          <w:rFonts w:ascii="Arial" w:hAnsi="Arial"/>
          <w:highlight w:val="lightGray"/>
          <w:lang w:val="it-IT"/>
        </w:rPr>
        <w:t>ndicazione approssimativa della prevista variazione del valore del prezzo del terreno al m</w:t>
      </w:r>
      <w:r w:rsidRPr="005400C1">
        <w:rPr>
          <w:rFonts w:ascii="Arial" w:hAnsi="Arial"/>
          <w:highlight w:val="lightGray"/>
          <w:vertAlign w:val="superscript"/>
          <w:lang w:val="it-IT"/>
        </w:rPr>
        <w:t>2</w:t>
      </w:r>
      <w:r w:rsidRPr="005400C1">
        <w:rPr>
          <w:rFonts w:ascii="Arial" w:hAnsi="Arial"/>
          <w:highlight w:val="lightGray"/>
          <w:lang w:val="it-IT"/>
        </w:rPr>
        <w:t>]</w:t>
      </w:r>
    </w:p>
    <w:p w14:paraId="3FBD9457" w14:textId="77777777" w:rsidR="008C4EFC" w:rsidRPr="005400C1" w:rsidRDefault="00413050" w:rsidP="001057C0">
      <w:pPr>
        <w:rPr>
          <w:rFonts w:ascii="Arial" w:hAnsi="Arial" w:cs="Arial"/>
          <w:lang w:val="it-IT"/>
        </w:rPr>
      </w:pPr>
      <w:r w:rsidRPr="005400C1">
        <w:rPr>
          <w:rFonts w:ascii="Arial" w:hAnsi="Arial"/>
          <w:highlight w:val="lightGray"/>
          <w:lang w:val="it-IT"/>
        </w:rPr>
        <w:t>Il plusvalore viene determinato in base ai metodi di valutazione riconosciuti. La competenza spetta all'Ufficio per le valutazioni immobiliari, il quale si occupa della valutazione. Dopo un primo contatto tra il Comune e l'Ufficio per le valutazioni immobiliari, in base a una stima provvisoria svolta dall'Ufficio la variazione del valore del prezzo del terreno al m</w:t>
      </w:r>
      <w:r w:rsidRPr="005400C1">
        <w:rPr>
          <w:rFonts w:ascii="Arial" w:hAnsi="Arial"/>
          <w:highlight w:val="lightGray"/>
          <w:vertAlign w:val="superscript"/>
          <w:lang w:val="it-IT"/>
        </w:rPr>
        <w:t>2</w:t>
      </w:r>
      <w:r w:rsidRPr="005400C1">
        <w:rPr>
          <w:rFonts w:ascii="Arial" w:hAnsi="Arial"/>
          <w:highlight w:val="lightGray"/>
          <w:lang w:val="it-IT"/>
        </w:rPr>
        <w:t xml:space="preserve"> in seguito all'azzonamento è compresa nell'intervallo tra CHF […] e CHF […] circa. Con un'aliquota pari al […] per cento, la tassa sul plusvalore dovuta è compresa presumibilmente nell'intervallo tra CHF […] e CHF […] circa. Per la determinazione esatta del plusvalore il Comune chiede anche una perizia di valutazione definitiva all'Ufficio per le valutazioni immobiliari (art. 19k cpv. 2 LPTC). La perizia di valutazione Le sarà trasmessa a tempo debito. Le spese per la perizia di valutazione sono in ogni caso a carico del Comune (art. 19k cpv. 3 LPTC).</w:t>
      </w:r>
    </w:p>
    <w:p w14:paraId="66F0A5DE" w14:textId="28F53725" w:rsidR="00EE19D7" w:rsidRPr="005400C1" w:rsidRDefault="00DF5894" w:rsidP="00EE19D7">
      <w:pPr>
        <w:rPr>
          <w:rFonts w:ascii="Arial" w:hAnsi="Arial" w:cs="Arial"/>
          <w:highlight w:val="lightGray"/>
          <w:lang w:val="it-IT"/>
        </w:rPr>
      </w:pPr>
      <w:r w:rsidRPr="005400C1">
        <w:rPr>
          <w:rFonts w:ascii="Arial" w:hAnsi="Arial"/>
          <w:highlight w:val="lightGray"/>
          <w:lang w:val="it-IT"/>
        </w:rPr>
        <w:t>[</w:t>
      </w:r>
      <w:r w:rsidRPr="005400C1">
        <w:rPr>
          <w:rFonts w:ascii="Arial" w:hAnsi="Arial"/>
          <w:b/>
          <w:highlight w:val="lightGray"/>
          <w:lang w:val="it-IT"/>
        </w:rPr>
        <w:t>Variante per un'eccezione</w:t>
      </w:r>
      <w:r w:rsidRPr="005400C1">
        <w:rPr>
          <w:rFonts w:ascii="Arial" w:hAnsi="Arial"/>
          <w:highlight w:val="lightGray"/>
          <w:lang w:val="it-IT"/>
        </w:rPr>
        <w:t xml:space="preserve">: </w:t>
      </w:r>
      <w:r w:rsidR="005400C1">
        <w:rPr>
          <w:rFonts w:ascii="Arial" w:hAnsi="Arial"/>
          <w:highlight w:val="lightGray"/>
          <w:lang w:val="it-IT"/>
        </w:rPr>
        <w:t>s</w:t>
      </w:r>
      <w:r w:rsidRPr="005400C1">
        <w:rPr>
          <w:rFonts w:ascii="Arial" w:hAnsi="Arial"/>
          <w:highlight w:val="lightGray"/>
          <w:lang w:val="it-IT"/>
        </w:rPr>
        <w:t>enza indicazione della prevista variazione del valore del prezzo del terreno al m</w:t>
      </w:r>
      <w:r w:rsidRPr="005400C1">
        <w:rPr>
          <w:rFonts w:ascii="Arial" w:hAnsi="Arial"/>
          <w:highlight w:val="lightGray"/>
          <w:vertAlign w:val="superscript"/>
          <w:lang w:val="it-IT"/>
        </w:rPr>
        <w:t>2</w:t>
      </w:r>
      <w:r w:rsidRPr="005400C1">
        <w:rPr>
          <w:rFonts w:ascii="Arial" w:hAnsi="Arial"/>
          <w:highlight w:val="lightGray"/>
          <w:lang w:val="it-IT"/>
        </w:rPr>
        <w:t>]</w:t>
      </w:r>
    </w:p>
    <w:p w14:paraId="391834CD" w14:textId="420B8D6D" w:rsidR="00EE19D7" w:rsidRPr="005400C1" w:rsidRDefault="00EE19D7" w:rsidP="00EE19D7">
      <w:pPr>
        <w:rPr>
          <w:rFonts w:ascii="Arial" w:hAnsi="Arial" w:cs="Arial"/>
          <w:lang w:val="it-IT"/>
        </w:rPr>
      </w:pPr>
      <w:r w:rsidRPr="005400C1">
        <w:rPr>
          <w:rFonts w:ascii="Arial" w:hAnsi="Arial"/>
          <w:highlight w:val="lightGray"/>
          <w:lang w:val="it-IT"/>
        </w:rPr>
        <w:t>Il plusvalore viene determinato in base ai metodi di valutazione riconosciuti (art. 19k cpv. 2 LPTC). A questo scopo il Comune chiede una perizia di valutazione al</w:t>
      </w:r>
      <w:r w:rsidR="005400C1">
        <w:rPr>
          <w:rFonts w:ascii="Arial" w:hAnsi="Arial"/>
          <w:highlight w:val="lightGray"/>
          <w:lang w:val="it-IT"/>
        </w:rPr>
        <w:t xml:space="preserve"> </w:t>
      </w:r>
      <w:r w:rsidR="005400C1" w:rsidRPr="005400C1">
        <w:rPr>
          <w:rFonts w:ascii="Arial" w:hAnsi="Arial"/>
          <w:highlight w:val="lightGray"/>
          <w:lang w:val="it-IT"/>
        </w:rPr>
        <w:t xml:space="preserve">competente </w:t>
      </w:r>
      <w:r w:rsidRPr="005400C1">
        <w:rPr>
          <w:rFonts w:ascii="Arial" w:hAnsi="Arial"/>
          <w:highlight w:val="lightGray"/>
          <w:lang w:val="it-IT"/>
        </w:rPr>
        <w:t>Ufficio per le valutazioni immobiliari (art. 19k cpv. 2 LPTC). La perizia di valutazione Le sarà trasmessa a tempo debito. Le spese per la perizia di valutazione sono in ogni caso a carico del Comune (art. 19k cpv. 3 LPTC).</w:t>
      </w:r>
    </w:p>
    <w:p w14:paraId="70AE7FAD" w14:textId="570B29EF" w:rsidR="00C2743F" w:rsidRPr="005400C1" w:rsidRDefault="0055695E" w:rsidP="001057C0">
      <w:pPr>
        <w:rPr>
          <w:rFonts w:ascii="Arial" w:hAnsi="Arial" w:cs="Arial"/>
          <w:lang w:val="it-IT"/>
        </w:rPr>
      </w:pPr>
      <w:r w:rsidRPr="005400C1">
        <w:rPr>
          <w:rFonts w:ascii="Arial" w:hAnsi="Arial"/>
          <w:lang w:val="it-IT"/>
        </w:rPr>
        <w:t xml:space="preserve">Immediatamente dopo il passaggio in giudicato della misura di pianificazione il Comune accerta la tassa sul plusvalore con una decisione impugnabile dinanzi al Tribunale </w:t>
      </w:r>
      <w:r w:rsidR="002324ED">
        <w:rPr>
          <w:rFonts w:ascii="Arial" w:hAnsi="Arial"/>
          <w:lang w:val="it-IT"/>
        </w:rPr>
        <w:t>d'appello</w:t>
      </w:r>
      <w:bookmarkStart w:id="0" w:name="_GoBack"/>
      <w:bookmarkEnd w:id="0"/>
      <w:r w:rsidRPr="005400C1">
        <w:rPr>
          <w:rFonts w:ascii="Arial" w:hAnsi="Arial"/>
          <w:lang w:val="it-IT"/>
        </w:rPr>
        <w:t xml:space="preserve"> e in seguito la menziona nel registro fondiario tra le indicazioni relative al Suo fondo (art. 19m in unione con l'art. 19w cpv. 2 n. 6 LPTC). </w:t>
      </w:r>
    </w:p>
    <w:p w14:paraId="7164FC91" w14:textId="77777777" w:rsidR="0055695E" w:rsidRPr="005400C1" w:rsidRDefault="0055695E" w:rsidP="001057C0">
      <w:pPr>
        <w:rPr>
          <w:rFonts w:ascii="Arial" w:hAnsi="Arial" w:cs="Arial"/>
          <w:lang w:val="it-IT"/>
        </w:rPr>
      </w:pPr>
    </w:p>
    <w:p w14:paraId="4A3A3618" w14:textId="77777777" w:rsidR="00AB75E4" w:rsidRPr="005400C1" w:rsidRDefault="005F551E" w:rsidP="00AB75E4">
      <w:pPr>
        <w:tabs>
          <w:tab w:val="left" w:pos="284"/>
        </w:tabs>
        <w:spacing w:after="0" w:line="312" w:lineRule="auto"/>
        <w:jc w:val="both"/>
        <w:rPr>
          <w:rFonts w:ascii="Arial" w:hAnsi="Arial" w:cs="Arial"/>
          <w:lang w:val="it-IT"/>
        </w:rPr>
      </w:pPr>
      <w:r w:rsidRPr="005400C1">
        <w:rPr>
          <w:rFonts w:ascii="Arial" w:hAnsi="Arial"/>
          <w:lang w:val="it-IT"/>
        </w:rPr>
        <w:t>La preghiamo di prenderne atto. Siamo a disposizione per eventuali domande.</w:t>
      </w:r>
    </w:p>
    <w:p w14:paraId="363A1474" w14:textId="77777777" w:rsidR="00AB75E4" w:rsidRPr="005400C1" w:rsidRDefault="00AB75E4" w:rsidP="00AB75E4">
      <w:pPr>
        <w:tabs>
          <w:tab w:val="left" w:pos="284"/>
        </w:tabs>
        <w:spacing w:after="0" w:line="312" w:lineRule="auto"/>
        <w:ind w:left="284" w:hanging="284"/>
        <w:jc w:val="both"/>
        <w:rPr>
          <w:rFonts w:ascii="Arial" w:hAnsi="Arial" w:cs="Arial"/>
          <w:lang w:val="it-IT"/>
        </w:rPr>
      </w:pPr>
    </w:p>
    <w:p w14:paraId="6D2F88E5" w14:textId="77777777" w:rsidR="00AB75E4" w:rsidRPr="005400C1" w:rsidRDefault="00AB75E4" w:rsidP="00AB75E4">
      <w:pPr>
        <w:tabs>
          <w:tab w:val="left" w:pos="284"/>
        </w:tabs>
        <w:spacing w:after="0" w:line="312" w:lineRule="auto"/>
        <w:ind w:left="284" w:hanging="284"/>
        <w:jc w:val="both"/>
        <w:rPr>
          <w:rFonts w:ascii="Arial" w:hAnsi="Arial" w:cs="Arial"/>
          <w:lang w:val="it-IT"/>
        </w:rPr>
      </w:pPr>
      <w:r w:rsidRPr="005400C1">
        <w:rPr>
          <w:rFonts w:ascii="Arial" w:hAnsi="Arial"/>
          <w:lang w:val="it-IT"/>
        </w:rPr>
        <w:t>Cordiali saluti</w:t>
      </w:r>
    </w:p>
    <w:p w14:paraId="53A3A277" w14:textId="77777777" w:rsidR="00AB75E4" w:rsidRPr="005400C1" w:rsidRDefault="00AB75E4" w:rsidP="00AB75E4">
      <w:pPr>
        <w:tabs>
          <w:tab w:val="left" w:pos="284"/>
        </w:tabs>
        <w:spacing w:after="0" w:line="312" w:lineRule="auto"/>
        <w:ind w:left="284" w:hanging="284"/>
        <w:jc w:val="both"/>
        <w:rPr>
          <w:rFonts w:ascii="Arial" w:hAnsi="Arial" w:cs="Arial"/>
          <w:lang w:val="it-IT"/>
        </w:rPr>
      </w:pPr>
    </w:p>
    <w:p w14:paraId="479C9103" w14:textId="77777777" w:rsidR="00AB75E4" w:rsidRPr="005400C1" w:rsidRDefault="00AB75E4" w:rsidP="00AB75E4">
      <w:pPr>
        <w:tabs>
          <w:tab w:val="left" w:pos="284"/>
        </w:tabs>
        <w:spacing w:after="0" w:line="312" w:lineRule="auto"/>
        <w:ind w:left="284" w:hanging="284"/>
        <w:jc w:val="both"/>
        <w:rPr>
          <w:rFonts w:ascii="Arial" w:hAnsi="Arial" w:cs="Arial"/>
          <w:lang w:val="it-IT"/>
        </w:rPr>
      </w:pPr>
      <w:r w:rsidRPr="005400C1">
        <w:rPr>
          <w:rFonts w:ascii="Arial" w:hAnsi="Arial"/>
          <w:lang w:val="it-IT"/>
        </w:rPr>
        <w:t>Comune di [</w:t>
      </w:r>
      <w:r w:rsidRPr="005400C1">
        <w:rPr>
          <w:rFonts w:ascii="Arial" w:hAnsi="Arial"/>
          <w:highlight w:val="lightGray"/>
          <w:lang w:val="it-IT"/>
        </w:rPr>
        <w:t>…</w:t>
      </w:r>
      <w:r w:rsidRPr="005400C1">
        <w:rPr>
          <w:rFonts w:ascii="Arial" w:hAnsi="Arial"/>
          <w:lang w:val="it-IT"/>
        </w:rPr>
        <w:t>]</w:t>
      </w:r>
    </w:p>
    <w:p w14:paraId="5C73FB80" w14:textId="77777777" w:rsidR="00AB75E4" w:rsidRPr="005400C1" w:rsidRDefault="00AB75E4" w:rsidP="00AB75E4">
      <w:pPr>
        <w:tabs>
          <w:tab w:val="left" w:pos="284"/>
        </w:tabs>
        <w:spacing w:after="0" w:line="312" w:lineRule="auto"/>
        <w:ind w:left="284" w:hanging="284"/>
        <w:jc w:val="both"/>
        <w:rPr>
          <w:rFonts w:ascii="Arial" w:hAnsi="Arial" w:cs="Arial"/>
          <w:lang w:val="it-IT"/>
        </w:rPr>
      </w:pPr>
    </w:p>
    <w:p w14:paraId="68844E6A" w14:textId="77777777" w:rsidR="00AB75E4" w:rsidRPr="005400C1" w:rsidRDefault="00AB75E4" w:rsidP="00AB75E4">
      <w:pPr>
        <w:tabs>
          <w:tab w:val="left" w:pos="284"/>
        </w:tabs>
        <w:spacing w:after="0" w:line="312" w:lineRule="auto"/>
        <w:ind w:left="284" w:hanging="284"/>
        <w:jc w:val="both"/>
        <w:rPr>
          <w:rFonts w:ascii="Arial" w:hAnsi="Arial" w:cs="Arial"/>
          <w:lang w:val="it-IT"/>
        </w:rPr>
      </w:pPr>
    </w:p>
    <w:p w14:paraId="36C12E72" w14:textId="77777777" w:rsidR="00AB75E4" w:rsidRPr="005400C1" w:rsidRDefault="00AB75E4" w:rsidP="00AB75E4">
      <w:pPr>
        <w:tabs>
          <w:tab w:val="left" w:pos="284"/>
        </w:tabs>
        <w:spacing w:after="0" w:line="312" w:lineRule="auto"/>
        <w:ind w:left="284" w:hanging="284"/>
        <w:jc w:val="both"/>
        <w:rPr>
          <w:rFonts w:ascii="Arial" w:hAnsi="Arial" w:cs="Arial"/>
          <w:lang w:val="it-IT"/>
        </w:rPr>
      </w:pPr>
      <w:r w:rsidRPr="005400C1">
        <w:rPr>
          <w:rFonts w:ascii="Arial" w:hAnsi="Arial"/>
          <w:lang w:val="it-IT"/>
        </w:rPr>
        <w:t>……………………………………</w:t>
      </w:r>
      <w:r w:rsidRPr="005400C1">
        <w:rPr>
          <w:rFonts w:ascii="Arial" w:hAnsi="Arial"/>
          <w:lang w:val="it-IT"/>
        </w:rPr>
        <w:tab/>
      </w:r>
      <w:r w:rsidRPr="005400C1">
        <w:rPr>
          <w:rFonts w:ascii="Arial" w:hAnsi="Arial"/>
          <w:lang w:val="it-IT"/>
        </w:rPr>
        <w:tab/>
      </w:r>
      <w:r w:rsidRPr="005400C1">
        <w:rPr>
          <w:rFonts w:ascii="Arial" w:hAnsi="Arial"/>
          <w:lang w:val="it-IT"/>
        </w:rPr>
        <w:tab/>
        <w:t>……………………………………</w:t>
      </w:r>
    </w:p>
    <w:p w14:paraId="2C1FA182" w14:textId="77777777" w:rsidR="00AB75E4" w:rsidRPr="005400C1" w:rsidRDefault="00AB75E4" w:rsidP="00AB75E4">
      <w:pPr>
        <w:tabs>
          <w:tab w:val="left" w:pos="284"/>
        </w:tabs>
        <w:spacing w:after="0" w:line="312" w:lineRule="auto"/>
        <w:ind w:left="284" w:hanging="284"/>
        <w:jc w:val="both"/>
        <w:rPr>
          <w:rFonts w:ascii="Arial" w:hAnsi="Arial" w:cs="Arial"/>
          <w:lang w:val="it-IT"/>
        </w:rPr>
      </w:pPr>
      <w:r w:rsidRPr="005400C1">
        <w:rPr>
          <w:rFonts w:ascii="Arial" w:hAnsi="Arial"/>
          <w:lang w:val="it-IT"/>
        </w:rPr>
        <w:t>[</w:t>
      </w:r>
      <w:r w:rsidRPr="005400C1">
        <w:rPr>
          <w:rFonts w:ascii="Arial" w:hAnsi="Arial"/>
          <w:highlight w:val="lightGray"/>
          <w:lang w:val="it-IT"/>
        </w:rPr>
        <w:t>Il sindaco/La sindaca</w:t>
      </w:r>
      <w:r w:rsidRPr="005400C1">
        <w:rPr>
          <w:rFonts w:ascii="Arial" w:hAnsi="Arial"/>
          <w:lang w:val="it-IT"/>
        </w:rPr>
        <w:t>]</w:t>
      </w:r>
      <w:r w:rsidRPr="005400C1">
        <w:rPr>
          <w:rFonts w:ascii="Arial" w:hAnsi="Arial"/>
          <w:lang w:val="it-IT"/>
        </w:rPr>
        <w:tab/>
      </w:r>
      <w:r w:rsidRPr="005400C1">
        <w:rPr>
          <w:rFonts w:ascii="Arial" w:hAnsi="Arial"/>
          <w:lang w:val="it-IT"/>
        </w:rPr>
        <w:tab/>
      </w:r>
      <w:r w:rsidRPr="005400C1">
        <w:rPr>
          <w:rFonts w:ascii="Arial" w:hAnsi="Arial"/>
          <w:lang w:val="it-IT"/>
        </w:rPr>
        <w:tab/>
        <w:t>[</w:t>
      </w:r>
      <w:r w:rsidRPr="005400C1">
        <w:rPr>
          <w:rFonts w:ascii="Arial" w:hAnsi="Arial"/>
          <w:highlight w:val="lightGray"/>
          <w:lang w:val="it-IT"/>
        </w:rPr>
        <w:t>Il segretario comunale/La segretaria comunale</w:t>
      </w:r>
      <w:r w:rsidRPr="005400C1">
        <w:rPr>
          <w:rFonts w:ascii="Arial" w:hAnsi="Arial"/>
          <w:lang w:val="it-IT"/>
        </w:rPr>
        <w:t>]</w:t>
      </w:r>
    </w:p>
    <w:p w14:paraId="5483C6C0" w14:textId="77777777" w:rsidR="001057C0" w:rsidRPr="005400C1" w:rsidRDefault="001057C0" w:rsidP="001057C0">
      <w:pPr>
        <w:rPr>
          <w:rFonts w:ascii="Arial" w:hAnsi="Arial" w:cs="Arial"/>
          <w:lang w:val="it-IT"/>
        </w:rPr>
      </w:pPr>
    </w:p>
    <w:p w14:paraId="5E6C9B60" w14:textId="77777777" w:rsidR="00681B54" w:rsidRPr="005400C1" w:rsidRDefault="00681B54" w:rsidP="00681B54">
      <w:pPr>
        <w:tabs>
          <w:tab w:val="left" w:pos="284"/>
        </w:tabs>
        <w:spacing w:after="0" w:line="312" w:lineRule="auto"/>
        <w:ind w:left="284" w:hanging="284"/>
        <w:jc w:val="both"/>
        <w:rPr>
          <w:rFonts w:ascii="Arial" w:hAnsi="Arial" w:cs="Arial"/>
          <w:lang w:val="it-IT"/>
        </w:rPr>
      </w:pPr>
    </w:p>
    <w:p w14:paraId="079193BC" w14:textId="77777777" w:rsidR="00610C87" w:rsidRPr="005400C1"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it-IT"/>
        </w:rPr>
      </w:pPr>
      <w:r w:rsidRPr="005400C1">
        <w:rPr>
          <w:rFonts w:ascii="Arial" w:hAnsi="Arial"/>
          <w:u w:val="single"/>
          <w:lang w:val="it-IT"/>
        </w:rPr>
        <w:t>Indicazione d'uso:</w:t>
      </w:r>
      <w:r w:rsidRPr="005400C1">
        <w:rPr>
          <w:rFonts w:ascii="Arial" w:hAnsi="Arial"/>
          <w:lang w:val="it-IT"/>
        </w:rPr>
        <w:t xml:space="preserve"> questo modello rappresenta uno strumento ausiliario del Cantone. Le formulazioni contenute in questo modello hanno mero carattere di proposta. I passaggi di testo che devono essere integrati o precisati da parte del Comune vengono resi individuabili con i segnaposto messi tra parentesi quadre […] e si trovano su sfondo grigio.</w:t>
      </w:r>
    </w:p>
    <w:p w14:paraId="76DD4F50" w14:textId="77777777" w:rsidR="00F2420F" w:rsidRPr="005400C1" w:rsidRDefault="002324ED">
      <w:pPr>
        <w:rPr>
          <w:rFonts w:ascii="Arial" w:hAnsi="Arial" w:cs="Arial"/>
          <w:lang w:val="it-IT"/>
        </w:rPr>
      </w:pPr>
    </w:p>
    <w:sectPr w:rsidR="00F2420F" w:rsidRPr="005400C1" w:rsidSect="00610C87">
      <w:head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DADA6" w14:textId="77777777" w:rsidR="00681B54" w:rsidRDefault="00681B54" w:rsidP="00681B54">
      <w:pPr>
        <w:spacing w:after="0" w:line="240" w:lineRule="auto"/>
      </w:pPr>
      <w:r>
        <w:separator/>
      </w:r>
    </w:p>
  </w:endnote>
  <w:endnote w:type="continuationSeparator" w:id="0">
    <w:p w14:paraId="68E916E1" w14:textId="77777777"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9CDC" w14:textId="77777777" w:rsidR="00681B54" w:rsidRDefault="00681B54" w:rsidP="00681B54">
      <w:pPr>
        <w:spacing w:after="0" w:line="240" w:lineRule="auto"/>
      </w:pPr>
      <w:r>
        <w:separator/>
      </w:r>
    </w:p>
  </w:footnote>
  <w:footnote w:type="continuationSeparator" w:id="0">
    <w:p w14:paraId="1CF80496" w14:textId="77777777" w:rsidR="00681B54" w:rsidRDefault="00681B54" w:rsidP="00681B54">
      <w:pPr>
        <w:spacing w:after="0" w:line="240" w:lineRule="auto"/>
      </w:pPr>
      <w:r>
        <w:continuationSeparator/>
      </w:r>
    </w:p>
  </w:footnote>
  <w:footnote w:id="1">
    <w:p w14:paraId="1619D7F8" w14:textId="77777777" w:rsidR="007659C2" w:rsidRPr="007659C2" w:rsidRDefault="007659C2" w:rsidP="007659C2">
      <w:pPr>
        <w:pStyle w:val="Fuzeile"/>
      </w:pPr>
      <w:r>
        <w:rPr>
          <w:rStyle w:val="Funotenzeichen"/>
        </w:rPr>
        <w:footnoteRef/>
      </w:r>
      <w:r>
        <w:t xml:space="preserve"> Se in base al diritto comunale vengono riscosse tasse sul plusvalore anche in seguito a cambiamenti di destinazione o ad aumenti della densità edificatoria, le spiegazioni seguenti devono essere completate per analogia. </w:t>
      </w:r>
    </w:p>
  </w:footnote>
  <w:footnote w:id="2">
    <w:p w14:paraId="787EFDBD" w14:textId="77777777" w:rsidR="00610C87" w:rsidRDefault="00610C87" w:rsidP="00610C87">
      <w:pPr>
        <w:pStyle w:val="Fuzeile"/>
      </w:pPr>
      <w:r>
        <w:rPr>
          <w:rStyle w:val="Funotenzeichen"/>
        </w:rPr>
        <w:footnoteRef/>
      </w:r>
      <w:r>
        <w:t xml:space="preserve"> Se secondo l'art. 19j cpv. 2 LPTC sussistono altre fattispecie di tassazione comunali, occorre completarle per analogia.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14:paraId="4718414B" w14:textId="5B63FC32"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2324ED">
          <w:rPr>
            <w:rFonts w:ascii="Arial" w:hAnsi="Arial" w:cs="Arial"/>
            <w:noProof/>
          </w:rPr>
          <w:t>3</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B68B" w14:textId="77777777" w:rsidR="00610C87" w:rsidRPr="007348BC"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rPr>
      <w:t>Guida d'applicazione M4</w:t>
    </w:r>
  </w:p>
  <w:p w14:paraId="011CC2C0" w14:textId="615EB655" w:rsidR="00610C87" w:rsidRPr="00861C71" w:rsidRDefault="005A6AA1"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Pr>
        <w:rFonts w:ascii="Arial" w:hAnsi="Arial"/>
        <w:sz w:val="16"/>
      </w:rPr>
      <w:t xml:space="preserve"> Ufficio per lo sviluppo del territorio dei Grigioni, versione stato </w:t>
    </w:r>
    <w:r w:rsidR="002324ED">
      <w:rPr>
        <w:rFonts w:ascii="Arial" w:hAnsi="Arial"/>
        <w:sz w:val="16"/>
      </w:rPr>
      <w:t>20</w:t>
    </w:r>
    <w:r>
      <w:rPr>
        <w:rFonts w:ascii="Arial" w:hAnsi="Arial"/>
        <w:sz w:val="16"/>
      </w:rPr>
      <w:t>.1</w:t>
    </w:r>
    <w:r w:rsidR="002324ED">
      <w:rPr>
        <w:rFonts w:ascii="Arial" w:hAnsi="Arial"/>
        <w:sz w:val="16"/>
      </w:rPr>
      <w:t>2</w:t>
    </w:r>
    <w:r>
      <w:rPr>
        <w:rFonts w:ascii="Arial" w:hAnsi="Arial"/>
        <w:sz w:val="16"/>
      </w:rPr>
      <w:t>.202</w:t>
    </w:r>
    <w:r w:rsidR="002324ED">
      <w:rPr>
        <w:rFonts w:ascii="Arial" w:hAnsi="Arial"/>
        <w:sz w:val="16"/>
      </w:rPr>
      <w:t>4</w:t>
    </w:r>
  </w:p>
  <w:p w14:paraId="4767E178" w14:textId="77777777" w:rsidR="00610C87" w:rsidRDefault="00610C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E714F"/>
    <w:rsid w:val="001057C0"/>
    <w:rsid w:val="00161C61"/>
    <w:rsid w:val="002324ED"/>
    <w:rsid w:val="00267E69"/>
    <w:rsid w:val="002C563A"/>
    <w:rsid w:val="00354755"/>
    <w:rsid w:val="00413050"/>
    <w:rsid w:val="004645AD"/>
    <w:rsid w:val="00487F0F"/>
    <w:rsid w:val="004F41B0"/>
    <w:rsid w:val="00534F3F"/>
    <w:rsid w:val="005400C1"/>
    <w:rsid w:val="00550535"/>
    <w:rsid w:val="0055695E"/>
    <w:rsid w:val="005A6AA1"/>
    <w:rsid w:val="005C6AC1"/>
    <w:rsid w:val="005F551E"/>
    <w:rsid w:val="00610C87"/>
    <w:rsid w:val="0065730C"/>
    <w:rsid w:val="00662B09"/>
    <w:rsid w:val="00681B54"/>
    <w:rsid w:val="00683562"/>
    <w:rsid w:val="007348BC"/>
    <w:rsid w:val="007659C2"/>
    <w:rsid w:val="007724D5"/>
    <w:rsid w:val="00797350"/>
    <w:rsid w:val="008C4EFC"/>
    <w:rsid w:val="009155AE"/>
    <w:rsid w:val="0093270A"/>
    <w:rsid w:val="009B0A23"/>
    <w:rsid w:val="009C5D5F"/>
    <w:rsid w:val="009F0F1D"/>
    <w:rsid w:val="00A14DB6"/>
    <w:rsid w:val="00AB75E4"/>
    <w:rsid w:val="00BB6A9B"/>
    <w:rsid w:val="00BF4F38"/>
    <w:rsid w:val="00BF6C48"/>
    <w:rsid w:val="00C2743F"/>
    <w:rsid w:val="00C6405A"/>
    <w:rsid w:val="00C80476"/>
    <w:rsid w:val="00D65561"/>
    <w:rsid w:val="00DB42F2"/>
    <w:rsid w:val="00DF5894"/>
    <w:rsid w:val="00E05A21"/>
    <w:rsid w:val="00E15E44"/>
    <w:rsid w:val="00E57439"/>
    <w:rsid w:val="00E7602E"/>
    <w:rsid w:val="00EA208C"/>
    <w:rsid w:val="00EE19D7"/>
    <w:rsid w:val="00EE4405"/>
    <w:rsid w:val="00F43313"/>
    <w:rsid w:val="00F54B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EC4A44F"/>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it-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413D5-A0FB-4BDA-A58F-B1A19E551AFE}">
  <ds:schemaRefs>
    <ds:schemaRef ds:uri="http://schemas.microsoft.com/sharepoint/v3/contenttype/forms"/>
  </ds:schemaRefs>
</ds:datastoreItem>
</file>

<file path=customXml/itemProps2.xml><?xml version="1.0" encoding="utf-8"?>
<ds:datastoreItem xmlns:ds="http://schemas.openxmlformats.org/officeDocument/2006/customXml" ds:itemID="{3975EAAD-CB54-4FB6-B0D2-2B73A3E0FB77}">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3.xml><?xml version="1.0" encoding="utf-8"?>
<ds:datastoreItem xmlns:ds="http://schemas.openxmlformats.org/officeDocument/2006/customXml" ds:itemID="{23EBB052-D15C-4A63-B12C-26D0370F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3719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N/A</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 di posizione indirizzata a persone assoggettate alla tassa riguardo all'informazione sull'assoggettamento e sull'ammontare della tassa (art. 35k cpv. 1 OPTC)</dc:title>
  <dc:subject/>
  <dc:creator>Corina Caluori</dc:creator>
  <cp:keywords/>
  <dc:description/>
  <cp:lastModifiedBy>Cadosch Adrian</cp:lastModifiedBy>
  <cp:revision>3</cp:revision>
  <dcterms:created xsi:type="dcterms:W3CDTF">2023-02-01T06:33:00Z</dcterms:created>
  <dcterms:modified xsi:type="dcterms:W3CDTF">2024-12-03T07:58:00Z</dcterms:modified>
  <cp:category>Tassa sul plusvalore (TPV) – calcolo, accertamento ed esecuzione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