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rPr>
        <w:t>Comune di [</w:t>
      </w:r>
      <w:r>
        <w:rPr>
          <w:rFonts w:ascii="Arial" w:hAnsi="Arial"/>
          <w:highlight w:val="lightGray"/>
        </w:rPr>
        <w:t>…</w:t>
      </w:r>
      <w:r>
        <w:rPr>
          <w:rFonts w:ascii="Arial" w:hAnsi="Arial"/>
        </w:rPr>
        <w:t>]</w:t>
      </w:r>
    </w:p>
    <w:p w:rsidR="00681B54" w:rsidRDefault="00681B54" w:rsidP="00A260AA">
      <w:pPr>
        <w:spacing w:after="0" w:line="312" w:lineRule="auto"/>
        <w:rPr>
          <w:rFonts w:ascii="Arial" w:hAnsi="Arial" w:cs="Arial"/>
        </w:rPr>
      </w:pPr>
      <w:r>
        <w:rPr>
          <w:rFonts w:ascii="Arial" w:hAnsi="Arial"/>
        </w:rPr>
        <w:t>[</w:t>
      </w:r>
      <w:r>
        <w:rPr>
          <w:rFonts w:ascii="Arial" w:hAnsi="Arial"/>
          <w:highlight w:val="lightGray"/>
        </w:rPr>
        <w:t>Indirizzo</w:t>
      </w:r>
      <w:r>
        <w:rPr>
          <w:rFonts w:ascii="Arial" w:hAnsi="Arial"/>
        </w:rPr>
        <w:t>]</w:t>
      </w:r>
    </w:p>
    <w:p w:rsidR="00681B54" w:rsidRDefault="00681B54" w:rsidP="00A260AA">
      <w:pPr>
        <w:spacing w:after="0" w:line="312" w:lineRule="auto"/>
        <w:rPr>
          <w:rFonts w:ascii="Arial" w:hAnsi="Arial" w:cs="Arial"/>
        </w:rPr>
      </w:pPr>
      <w:r>
        <w:rPr>
          <w:rFonts w:ascii="Arial" w:hAnsi="Arial"/>
        </w:rPr>
        <w:t>[</w:t>
      </w:r>
      <w:r>
        <w:rPr>
          <w:rFonts w:ascii="Arial" w:hAnsi="Arial"/>
          <w:highlight w:val="lightGray"/>
        </w:rPr>
        <w:t>NPA luogo</w:t>
      </w:r>
      <w:r>
        <w:rPr>
          <w:rFonts w:ascii="Arial" w:hAnsi="Arial"/>
        </w:rPr>
        <w:t>]</w:t>
      </w:r>
    </w:p>
    <w:p w:rsidR="00681B54" w:rsidRDefault="00681B54" w:rsidP="00681B54">
      <w:pPr>
        <w:spacing w:after="0" w:line="312" w:lineRule="auto"/>
        <w:rPr>
          <w:rFonts w:ascii="Arial" w:hAnsi="Arial" w:cs="Arial"/>
        </w:rPr>
      </w:pPr>
    </w:p>
    <w:p w:rsidR="00681B54" w:rsidRDefault="0065730C" w:rsidP="00A260AA">
      <w:pPr>
        <w:spacing w:after="0" w:line="312" w:lineRule="auto"/>
        <w:ind w:left="4956" w:firstLine="708"/>
        <w:rPr>
          <w:rFonts w:ascii="Arial" w:hAnsi="Arial" w:cs="Arial"/>
        </w:rPr>
      </w:pPr>
      <w:r>
        <w:rPr>
          <w:rFonts w:ascii="Arial" w:hAnsi="Arial"/>
        </w:rPr>
        <w:t>[</w:t>
      </w:r>
      <w:r>
        <w:rPr>
          <w:rFonts w:ascii="Arial" w:hAnsi="Arial"/>
          <w:highlight w:val="lightGray"/>
        </w:rPr>
        <w:t>Proprietario/a del fondo</w:t>
      </w:r>
      <w:r>
        <w:rPr>
          <w:rFonts w:ascii="Arial" w:hAnsi="Arial"/>
        </w:rPr>
        <w:t>]</w:t>
      </w:r>
    </w:p>
    <w:p w:rsidR="0065730C" w:rsidRDefault="0065730C" w:rsidP="00A260AA">
      <w:pPr>
        <w:spacing w:after="0" w:line="312" w:lineRule="auto"/>
        <w:ind w:left="4956" w:firstLine="708"/>
        <w:rPr>
          <w:rFonts w:ascii="Arial" w:hAnsi="Arial" w:cs="Arial"/>
        </w:rPr>
      </w:pPr>
      <w:r>
        <w:rPr>
          <w:rFonts w:ascii="Arial" w:hAnsi="Arial"/>
        </w:rPr>
        <w:t>[</w:t>
      </w:r>
      <w:r>
        <w:rPr>
          <w:rFonts w:ascii="Arial" w:hAnsi="Arial"/>
          <w:highlight w:val="lightGray"/>
        </w:rPr>
        <w:t>Indirizzo</w:t>
      </w:r>
      <w:r>
        <w:rPr>
          <w:rFonts w:ascii="Arial" w:hAnsi="Arial"/>
        </w:rPr>
        <w:t>]</w:t>
      </w:r>
    </w:p>
    <w:p w:rsidR="0065730C" w:rsidRPr="00681B54" w:rsidRDefault="0065730C" w:rsidP="00A260AA">
      <w:pPr>
        <w:spacing w:after="0" w:line="312" w:lineRule="auto"/>
        <w:ind w:left="4956" w:firstLine="708"/>
        <w:rPr>
          <w:rFonts w:ascii="Arial" w:hAnsi="Arial" w:cs="Arial"/>
        </w:rPr>
      </w:pPr>
      <w:r>
        <w:rPr>
          <w:rFonts w:ascii="Arial" w:hAnsi="Arial"/>
        </w:rPr>
        <w:t>[</w:t>
      </w:r>
      <w:r>
        <w:rPr>
          <w:rFonts w:ascii="Arial" w:hAnsi="Arial"/>
          <w:highlight w:val="lightGray"/>
        </w:rPr>
        <w:t>NPA luogo</w:t>
      </w:r>
      <w:r>
        <w:rPr>
          <w:rFonts w:ascii="Arial" w:hAnsi="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Pr>
          <w:rFonts w:ascii="Arial" w:hAnsi="Arial"/>
        </w:rPr>
        <w:t>[</w:t>
      </w:r>
      <w:r>
        <w:rPr>
          <w:rFonts w:ascii="Arial" w:hAnsi="Arial"/>
          <w:highlight w:val="lightGray"/>
        </w:rPr>
        <w:t>Luogo, data</w:t>
      </w:r>
      <w:r>
        <w:rPr>
          <w:rFonts w:ascii="Arial" w:hAnsi="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1057C0" w:rsidRDefault="001B1F48" w:rsidP="00681B54">
      <w:pPr>
        <w:spacing w:after="0" w:line="312" w:lineRule="auto"/>
        <w:rPr>
          <w:rFonts w:ascii="Arial" w:hAnsi="Arial" w:cs="Arial"/>
          <w:b/>
        </w:rPr>
      </w:pPr>
      <w:r>
        <w:rPr>
          <w:rFonts w:ascii="Arial" w:hAnsi="Arial"/>
          <w:b/>
        </w:rPr>
        <w:t>Procedura per l'accertamento della tassa sul plusvalore per vantaggi derivanti dalla pianificazione secondo l'art. 19i segg. LPTC; possibilità di prendere posizione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sz w:val="22"/>
          <w:szCs w:val="22"/>
        </w:rPr>
        <w:t>[</w:t>
      </w:r>
      <w:r>
        <w:rPr>
          <w:rFonts w:ascii="Arial" w:hAnsi="Arial"/>
          <w:sz w:val="22"/>
          <w:szCs w:val="22"/>
          <w:highlight w:val="lightGray"/>
        </w:rPr>
        <w:t>Gentile signora …/Egregio signor …</w:t>
      </w:r>
      <w:r>
        <w:rPr>
          <w:rFonts w:ascii="Arial" w:hAnsi="Arial"/>
          <w:sz w:val="22"/>
          <w:szCs w:val="22"/>
        </w:rPr>
        <w:t>],</w:t>
      </w:r>
    </w:p>
    <w:p w:rsidR="001B1F48" w:rsidRDefault="001B1F48" w:rsidP="001057C0">
      <w:pPr>
        <w:rPr>
          <w:rFonts w:ascii="Arial" w:hAnsi="Arial" w:cs="Arial"/>
        </w:rPr>
      </w:pPr>
      <w:r>
        <w:rPr>
          <w:rFonts w:ascii="Arial" w:hAnsi="Arial"/>
        </w:rPr>
        <w:t>con lettera del [</w:t>
      </w:r>
      <w:r>
        <w:rPr>
          <w:rFonts w:ascii="Arial" w:hAnsi="Arial"/>
          <w:highlight w:val="lightGray"/>
        </w:rPr>
        <w:t>…</w:t>
      </w:r>
      <w:r>
        <w:rPr>
          <w:rFonts w:ascii="Arial" w:hAnsi="Arial"/>
        </w:rPr>
        <w:t>]</w:t>
      </w:r>
      <w:r>
        <w:rPr>
          <w:rStyle w:val="Funotenzeichen"/>
          <w:rFonts w:ascii="Arial" w:hAnsi="Arial" w:cs="Arial"/>
        </w:rPr>
        <w:footnoteReference w:id="1"/>
      </w:r>
      <w:r>
        <w:rPr>
          <w:rFonts w:ascii="Arial" w:hAnsi="Arial"/>
        </w:rPr>
        <w:t xml:space="preserve"> La abbiamo informata del fatto che la prevista revisione [</w:t>
      </w:r>
      <w:r>
        <w:rPr>
          <w:rFonts w:ascii="Arial" w:hAnsi="Arial"/>
          <w:highlight w:val="lightGray"/>
        </w:rPr>
        <w:t>parziale</w:t>
      </w:r>
      <w:r>
        <w:rPr>
          <w:rFonts w:ascii="Arial" w:hAnsi="Arial"/>
        </w:rPr>
        <w:t>] della [</w:t>
      </w:r>
      <w:r>
        <w:rPr>
          <w:rFonts w:ascii="Arial" w:hAnsi="Arial"/>
          <w:highlight w:val="lightGray"/>
        </w:rPr>
        <w:t>pianificazione locale</w:t>
      </w:r>
      <w:r>
        <w:rPr>
          <w:rFonts w:ascii="Arial" w:hAnsi="Arial"/>
        </w:rPr>
        <w:t>] darà origine a un obbligo di versare la tassa per vantaggi derivanti dalla pianificazione e che Lei in qualità di [</w:t>
      </w:r>
      <w:r>
        <w:rPr>
          <w:rFonts w:ascii="Arial" w:hAnsi="Arial"/>
          <w:highlight w:val="lightGray"/>
        </w:rPr>
        <w:t>proprietario/proprietaria</w:t>
      </w:r>
      <w:r>
        <w:rPr>
          <w:rFonts w:ascii="Arial" w:hAnsi="Arial"/>
        </w:rPr>
        <w:t xml:space="preserve">] di un fondo da </w:t>
      </w:r>
      <w:proofErr w:type="spellStart"/>
      <w:r>
        <w:rPr>
          <w:rFonts w:ascii="Arial" w:hAnsi="Arial"/>
        </w:rPr>
        <w:t>azzonare</w:t>
      </w:r>
      <w:proofErr w:type="spellEnd"/>
      <w:r>
        <w:rPr>
          <w:rFonts w:ascii="Arial" w:hAnsi="Arial"/>
        </w:rPr>
        <w:t xml:space="preserve"> [</w:t>
      </w:r>
      <w:r>
        <w:rPr>
          <w:rFonts w:ascii="Arial" w:hAnsi="Arial"/>
          <w:highlight w:val="lightGray"/>
        </w:rPr>
        <w:t>per il quale è previsto un cambio di destinazione/un aumento della densità edificatoria</w:t>
      </w:r>
      <w:r>
        <w:rPr>
          <w:rFonts w:ascii="Arial" w:hAnsi="Arial"/>
        </w:rPr>
        <w:t>] (fondo n. [</w:t>
      </w:r>
      <w:r>
        <w:rPr>
          <w:rFonts w:ascii="Arial" w:hAnsi="Arial"/>
          <w:highlight w:val="lightGray"/>
        </w:rPr>
        <w:t>…</w:t>
      </w:r>
      <w:r>
        <w:rPr>
          <w:rFonts w:ascii="Arial" w:hAnsi="Arial"/>
        </w:rPr>
        <w:t>]) è [</w:t>
      </w:r>
      <w:r>
        <w:rPr>
          <w:rFonts w:ascii="Arial" w:hAnsi="Arial"/>
          <w:highlight w:val="lightGray"/>
        </w:rPr>
        <w:t>soggetto/a</w:t>
      </w:r>
      <w:r>
        <w:rPr>
          <w:rFonts w:ascii="Arial" w:hAnsi="Arial"/>
        </w:rPr>
        <w:t>] alla tassa.</w:t>
      </w:r>
    </w:p>
    <w:p w:rsidR="00B05748" w:rsidRDefault="001B1F48" w:rsidP="001057C0">
      <w:pPr>
        <w:rPr>
          <w:rFonts w:ascii="Arial" w:hAnsi="Arial" w:cs="Arial"/>
        </w:rPr>
      </w:pPr>
      <w:r>
        <w:rPr>
          <w:rFonts w:ascii="Arial" w:hAnsi="Arial"/>
        </w:rPr>
        <w:t>Nel frattempo il Comune ha ricevuto la perizia di valutazione effettuata dall'Ufficio per le valutazioni immobiliari (vedi allegato). Secondo questa perizia, il plusvalore derivante dalla pianificazione determinante per il Suo fondo n. [</w:t>
      </w:r>
      <w:r>
        <w:rPr>
          <w:rFonts w:ascii="Arial" w:hAnsi="Arial"/>
          <w:highlight w:val="lightGray"/>
        </w:rPr>
        <w:t>…</w:t>
      </w:r>
      <w:r>
        <w:rPr>
          <w:rFonts w:ascii="Arial" w:hAnsi="Arial"/>
        </w:rPr>
        <w:t>] ammonterà presumibilmente</w:t>
      </w:r>
      <w:r w:rsidR="005C200E">
        <w:rPr>
          <w:rStyle w:val="Funotenzeichen"/>
          <w:rFonts w:ascii="Arial" w:hAnsi="Arial" w:cs="Arial"/>
        </w:rPr>
        <w:footnoteReference w:id="2"/>
      </w:r>
      <w:r>
        <w:rPr>
          <w:rFonts w:ascii="Arial" w:hAnsi="Arial"/>
        </w:rPr>
        <w:t xml:space="preserve"> a CHF [</w:t>
      </w:r>
      <w:r>
        <w:rPr>
          <w:rFonts w:ascii="Arial" w:hAnsi="Arial"/>
          <w:highlight w:val="lightGray"/>
        </w:rPr>
        <w:t>…</w:t>
      </w:r>
      <w:r>
        <w:rPr>
          <w:rFonts w:ascii="Arial" w:hAnsi="Arial"/>
        </w:rPr>
        <w:t>]. Nel Comune di [</w:t>
      </w:r>
      <w:r>
        <w:rPr>
          <w:rFonts w:ascii="Arial" w:hAnsi="Arial"/>
          <w:highlight w:val="lightGray"/>
        </w:rPr>
        <w:t>…</w:t>
      </w:r>
      <w:r>
        <w:rPr>
          <w:rFonts w:ascii="Arial" w:hAnsi="Arial"/>
        </w:rPr>
        <w:t>] la tassa sul plusvalore ammonta al [</w:t>
      </w:r>
      <w:r>
        <w:rPr>
          <w:rFonts w:ascii="Arial" w:hAnsi="Arial"/>
          <w:highlight w:val="lightGray"/>
        </w:rPr>
        <w:t>…</w:t>
      </w:r>
      <w:r>
        <w:rPr>
          <w:rFonts w:ascii="Arial" w:hAnsi="Arial"/>
        </w:rPr>
        <w:t>]% del plusvalore determinante. La tassa sul plusvalore per il vantaggio derivante dalla pianificazione per il fondo n. [</w:t>
      </w:r>
      <w:r>
        <w:rPr>
          <w:rFonts w:ascii="Arial" w:hAnsi="Arial"/>
          <w:highlight w:val="lightGray"/>
        </w:rPr>
        <w:t>…</w:t>
      </w:r>
      <w:r>
        <w:rPr>
          <w:rFonts w:ascii="Arial" w:hAnsi="Arial"/>
        </w:rPr>
        <w:t>] ammonterà quindi presumibilmente a CHF [</w:t>
      </w:r>
      <w:r>
        <w:rPr>
          <w:rFonts w:ascii="Arial" w:hAnsi="Arial"/>
          <w:highlight w:val="lightGray"/>
        </w:rPr>
        <w:t>…</w:t>
      </w:r>
      <w:r>
        <w:rPr>
          <w:rFonts w:ascii="Arial" w:hAnsi="Arial"/>
        </w:rPr>
        <w:t>].</w:t>
      </w:r>
    </w:p>
    <w:p w:rsidR="00B05748" w:rsidRDefault="00E649C3" w:rsidP="001057C0">
      <w:pPr>
        <w:rPr>
          <w:rFonts w:ascii="Arial" w:hAnsi="Arial" w:cs="Arial"/>
        </w:rPr>
      </w:pPr>
      <w:r>
        <w:rPr>
          <w:rFonts w:ascii="Arial" w:hAnsi="Arial"/>
        </w:rPr>
        <w:t xml:space="preserve">Con la presente riceve la possibilità di presentare una </w:t>
      </w:r>
      <w:r>
        <w:rPr>
          <w:rFonts w:ascii="Arial" w:hAnsi="Arial"/>
          <w:u w:val="single"/>
        </w:rPr>
        <w:t>presa di posizione</w:t>
      </w:r>
      <w:r>
        <w:rPr>
          <w:rFonts w:ascii="Arial" w:hAnsi="Arial"/>
        </w:rPr>
        <w:t xml:space="preserve"> </w:t>
      </w:r>
      <w:r>
        <w:rPr>
          <w:rFonts w:ascii="Arial" w:hAnsi="Arial"/>
          <w:u w:val="single"/>
        </w:rPr>
        <w:t>entro 14 giorni</w:t>
      </w:r>
      <w:r w:rsidR="00E751C9">
        <w:rPr>
          <w:rStyle w:val="Funotenzeichen"/>
          <w:rFonts w:ascii="Arial" w:hAnsi="Arial" w:cs="Arial"/>
        </w:rPr>
        <w:footnoteReference w:id="3"/>
      </w:r>
      <w:r>
        <w:rPr>
          <w:rFonts w:ascii="Arial" w:hAnsi="Arial"/>
        </w:rPr>
        <w:t>.</w:t>
      </w:r>
    </w:p>
    <w:p w:rsidR="00E649C3" w:rsidRDefault="00E649C3" w:rsidP="001057C0">
      <w:pPr>
        <w:rPr>
          <w:rFonts w:ascii="Arial" w:hAnsi="Arial" w:cs="Arial"/>
        </w:rPr>
      </w:pPr>
      <w:r>
        <w:rPr>
          <w:rFonts w:ascii="Arial" w:hAnsi="Arial"/>
        </w:rPr>
        <w:t>Se gli aventi diritto di voto del Comune di [</w:t>
      </w:r>
      <w:r>
        <w:rPr>
          <w:rFonts w:ascii="Arial" w:hAnsi="Arial"/>
          <w:highlight w:val="lightGray"/>
        </w:rPr>
        <w:t>…</w:t>
      </w:r>
      <w:r>
        <w:rPr>
          <w:rFonts w:ascii="Arial" w:hAnsi="Arial"/>
        </w:rPr>
        <w:t>] approveranno la prevista revisione [</w:t>
      </w:r>
      <w:r>
        <w:rPr>
          <w:rFonts w:ascii="Arial" w:hAnsi="Arial"/>
          <w:highlight w:val="lightGray"/>
        </w:rPr>
        <w:t>parziale</w:t>
      </w:r>
      <w:r>
        <w:rPr>
          <w:rFonts w:ascii="Arial" w:hAnsi="Arial"/>
        </w:rPr>
        <w:t>] della [</w:t>
      </w:r>
      <w:r>
        <w:rPr>
          <w:rFonts w:ascii="Arial" w:hAnsi="Arial"/>
          <w:highlight w:val="lightGray"/>
        </w:rPr>
        <w:t>pianificazione locale</w:t>
      </w:r>
      <w:r>
        <w:rPr>
          <w:rFonts w:ascii="Arial" w:hAnsi="Arial"/>
        </w:rPr>
        <w:t xml:space="preserve">], subito dopo il passaggio in giudicato della misura </w:t>
      </w:r>
      <w:proofErr w:type="spellStart"/>
      <w:r>
        <w:rPr>
          <w:rFonts w:ascii="Arial" w:hAnsi="Arial"/>
        </w:rPr>
        <w:t>pianificatoria</w:t>
      </w:r>
      <w:proofErr w:type="spellEnd"/>
      <w:r>
        <w:rPr>
          <w:rFonts w:ascii="Arial" w:hAnsi="Arial"/>
        </w:rPr>
        <w:t xml:space="preserve"> il Comune accerterà la tassa sul plusvalore mediante una decisione impugnabile. Alla presente è allegata una bozza di questa decisione di tassazione. Con il passaggio in giudicato della decisione di tassazione, l'obbligo di versare la tassa e l'ipoteca legale a </w:t>
      </w:r>
      <w:r>
        <w:rPr>
          <w:rFonts w:ascii="Arial" w:hAnsi="Arial"/>
        </w:rPr>
        <w:lastRenderedPageBreak/>
        <w:t>garanzia di questa tassa saranno menzionati nel registro fondiario (art. 19k cpv. 2 n. 6 e cpv. 3 LPTC).</w:t>
      </w:r>
    </w:p>
    <w:p w:rsidR="0055695E" w:rsidRDefault="0055695E" w:rsidP="001057C0">
      <w:pPr>
        <w:rPr>
          <w:rFonts w:ascii="Arial" w:hAnsi="Arial" w:cs="Arial"/>
        </w:rPr>
      </w:pPr>
    </w:p>
    <w:p w:rsidR="00AB75E4" w:rsidRDefault="00E01761" w:rsidP="00AB75E4">
      <w:pPr>
        <w:tabs>
          <w:tab w:val="left" w:pos="284"/>
        </w:tabs>
        <w:spacing w:after="0" w:line="312" w:lineRule="auto"/>
        <w:jc w:val="both"/>
        <w:rPr>
          <w:rFonts w:ascii="Arial" w:hAnsi="Arial" w:cs="Arial"/>
        </w:rPr>
      </w:pPr>
      <w:r>
        <w:rPr>
          <w:rFonts w:ascii="Arial" w:hAnsi="Arial"/>
        </w:rPr>
        <w:t>La preghiamo di prenderne atto. Siamo a disposizione per eventuali domande.</w:t>
      </w: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rPr>
        <w:t>Distinti saluti</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Pr>
          <w:rFonts w:ascii="Arial" w:hAnsi="Arial"/>
        </w:rPr>
        <w:t>Comune di [</w:t>
      </w:r>
      <w:r>
        <w:rPr>
          <w:rFonts w:ascii="Arial" w:hAnsi="Arial"/>
          <w:highlight w:val="lightGray"/>
        </w:rPr>
        <w:t>…</w:t>
      </w:r>
      <w:r>
        <w:rPr>
          <w:rFonts w:ascii="Arial" w:hAnsi="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Pr>
          <w:rFonts w:ascii="Arial" w:hAnsi="Arial"/>
        </w:rPr>
        <w:t>……………………………………</w:t>
      </w:r>
      <w:r>
        <w:rPr>
          <w:rFonts w:ascii="Arial" w:hAnsi="Arial"/>
        </w:rPr>
        <w:tab/>
      </w:r>
      <w:bookmarkStart w:id="0" w:name="_GoBack"/>
      <w:bookmarkEnd w:id="0"/>
      <w:r>
        <w:rPr>
          <w:rFonts w:ascii="Arial" w:hAnsi="Arial"/>
        </w:rPr>
        <w:tab/>
        <w:t>……………………………………</w:t>
      </w:r>
    </w:p>
    <w:p w:rsidR="00AB75E4" w:rsidRPr="0036258E" w:rsidRDefault="00AB75E4" w:rsidP="00AB75E4">
      <w:pPr>
        <w:tabs>
          <w:tab w:val="left" w:pos="284"/>
        </w:tabs>
        <w:spacing w:after="0" w:line="312" w:lineRule="auto"/>
        <w:ind w:left="284" w:hanging="284"/>
        <w:jc w:val="both"/>
        <w:rPr>
          <w:rFonts w:ascii="Arial" w:hAnsi="Arial" w:cs="Arial"/>
        </w:rPr>
      </w:pPr>
      <w:r>
        <w:rPr>
          <w:rFonts w:ascii="Arial" w:hAnsi="Arial"/>
        </w:rPr>
        <w:t>[</w:t>
      </w:r>
      <w:r>
        <w:rPr>
          <w:rFonts w:ascii="Arial" w:hAnsi="Arial"/>
          <w:highlight w:val="lightGray"/>
        </w:rPr>
        <w:t>Il sindaco/La sindaca</w:t>
      </w:r>
      <w:r>
        <w:rPr>
          <w:rFonts w:ascii="Arial" w:hAnsi="Arial"/>
        </w:rPr>
        <w:t>]</w:t>
      </w:r>
      <w:r>
        <w:rPr>
          <w:rFonts w:ascii="Arial" w:hAnsi="Arial"/>
        </w:rPr>
        <w:tab/>
      </w:r>
      <w:r>
        <w:rPr>
          <w:rFonts w:ascii="Arial" w:hAnsi="Arial"/>
        </w:rPr>
        <w:tab/>
      </w:r>
      <w:r>
        <w:rPr>
          <w:rFonts w:ascii="Arial" w:hAnsi="Arial"/>
        </w:rPr>
        <w:tab/>
      </w:r>
      <w:r>
        <w:rPr>
          <w:rFonts w:ascii="Arial" w:hAnsi="Arial"/>
          <w:highlight w:val="lightGray"/>
        </w:rPr>
        <w:t>[Il segretario comunale/La segretaria comunale</w:t>
      </w:r>
      <w:r>
        <w:rPr>
          <w:rFonts w:ascii="Arial" w:hAnsi="Arial"/>
        </w:rPr>
        <w:t>]</w:t>
      </w:r>
    </w:p>
    <w:p w:rsidR="001057C0" w:rsidRDefault="001057C0" w:rsidP="001057C0">
      <w:pPr>
        <w:rPr>
          <w:rFonts w:ascii="Arial" w:hAnsi="Arial" w:cs="Arial"/>
        </w:rPr>
      </w:pPr>
    </w:p>
    <w:p w:rsidR="001057C0" w:rsidRDefault="001057C0" w:rsidP="001057C0">
      <w:pPr>
        <w:rPr>
          <w:rFonts w:ascii="Arial" w:hAnsi="Arial" w:cs="Arial"/>
        </w:rPr>
      </w:pPr>
    </w:p>
    <w:p w:rsidR="00681B54" w:rsidRDefault="00B05748" w:rsidP="00681B54">
      <w:pPr>
        <w:tabs>
          <w:tab w:val="left" w:pos="284"/>
        </w:tabs>
        <w:spacing w:after="0" w:line="312" w:lineRule="auto"/>
        <w:ind w:left="284" w:hanging="284"/>
        <w:jc w:val="both"/>
        <w:rPr>
          <w:rFonts w:ascii="Arial" w:hAnsi="Arial" w:cs="Arial"/>
        </w:rPr>
      </w:pPr>
      <w:r>
        <w:rPr>
          <w:rFonts w:ascii="Arial" w:hAnsi="Arial"/>
        </w:rPr>
        <w:t>Allegato:</w:t>
      </w:r>
    </w:p>
    <w:p w:rsidR="00B05748" w:rsidRDefault="00B05748" w:rsidP="00B05748">
      <w:pPr>
        <w:pStyle w:val="Listenabsatz"/>
        <w:numPr>
          <w:ilvl w:val="0"/>
          <w:numId w:val="5"/>
        </w:numPr>
        <w:tabs>
          <w:tab w:val="left" w:pos="284"/>
        </w:tabs>
        <w:spacing w:line="312" w:lineRule="auto"/>
        <w:jc w:val="both"/>
        <w:rPr>
          <w:rFonts w:ascii="Arial" w:hAnsi="Arial" w:cs="Arial"/>
        </w:rPr>
      </w:pPr>
      <w:r>
        <w:rPr>
          <w:rFonts w:ascii="Arial" w:hAnsi="Arial"/>
        </w:rPr>
        <w:t>Perizia di valutazione dell'Ufficio per le valutazioni immobiliari</w:t>
      </w:r>
    </w:p>
    <w:p w:rsidR="00B667F5" w:rsidRPr="00B05748" w:rsidRDefault="00B667F5" w:rsidP="00B05748">
      <w:pPr>
        <w:pStyle w:val="Listenabsatz"/>
        <w:numPr>
          <w:ilvl w:val="0"/>
          <w:numId w:val="5"/>
        </w:numPr>
        <w:tabs>
          <w:tab w:val="left" w:pos="284"/>
        </w:tabs>
        <w:spacing w:line="312" w:lineRule="auto"/>
        <w:jc w:val="both"/>
        <w:rPr>
          <w:rFonts w:ascii="Arial" w:hAnsi="Arial" w:cs="Arial"/>
        </w:rPr>
      </w:pPr>
      <w:r>
        <w:rPr>
          <w:rFonts w:ascii="Arial" w:hAnsi="Arial"/>
        </w:rPr>
        <w:t>Bozza della decisione di tassazione per la tassa sul plusvalore per vantaggi derivanti dalla pianificazione</w:t>
      </w:r>
    </w:p>
    <w:p w:rsidR="00681B54" w:rsidRDefault="00681B54" w:rsidP="00681B54">
      <w:pPr>
        <w:tabs>
          <w:tab w:val="left" w:pos="284"/>
        </w:tabs>
        <w:spacing w:after="0" w:line="312" w:lineRule="auto"/>
        <w:ind w:left="284" w:hanging="284"/>
        <w:jc w:val="both"/>
        <w:rPr>
          <w:rFonts w:ascii="Arial" w:hAnsi="Arial" w:cs="Arial"/>
        </w:rPr>
      </w:pPr>
    </w:p>
    <w:p w:rsidR="00B05748" w:rsidRDefault="00B05748" w:rsidP="00681B54">
      <w:pPr>
        <w:tabs>
          <w:tab w:val="left" w:pos="284"/>
        </w:tabs>
        <w:spacing w:after="0" w:line="312" w:lineRule="auto"/>
        <w:ind w:left="284" w:hanging="284"/>
        <w:jc w:val="both"/>
        <w:rPr>
          <w:rFonts w:ascii="Arial" w:hAnsi="Arial" w:cs="Arial"/>
        </w:rPr>
      </w:pPr>
    </w:p>
    <w:p w:rsidR="00B05748" w:rsidRDefault="00B05748" w:rsidP="00681B54">
      <w:pPr>
        <w:tabs>
          <w:tab w:val="left" w:pos="284"/>
        </w:tabs>
        <w:spacing w:after="0" w:line="312" w:lineRule="auto"/>
        <w:ind w:left="284" w:hanging="284"/>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u w:val="single"/>
        </w:rPr>
        <w:t>Indicazione d'uso:</w:t>
      </w:r>
      <w:r>
        <w:rPr>
          <w:rFonts w:ascii="Arial" w:hAnsi="Arial"/>
        </w:rPr>
        <w:t xml:space="preserve"> questo modello rappresenta uno strumento ausiliario del Cantone. Le formulazioni contenute in questo modello hanno mero carattere di proposta. I passaggi di testo che devono essere integrati o precisati da parte del Comune vengono resi individuabili con i segnaposto messi tra parentesi quadre […] e si trovano su sfondo grigio.</w:t>
      </w:r>
    </w:p>
    <w:p w:rsidR="00F2420F" w:rsidRPr="00681B54" w:rsidRDefault="00D90739">
      <w:pPr>
        <w:rPr>
          <w:rFonts w:ascii="Arial" w:hAnsi="Arial" w:cs="Arial"/>
        </w:rPr>
      </w:pPr>
    </w:p>
    <w:sectPr w:rsidR="00F2420F" w:rsidRPr="00681B54" w:rsidSect="00610C87">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1B1F48" w:rsidRDefault="001B1F48" w:rsidP="005C200E">
      <w:pPr>
        <w:pStyle w:val="Fuzeile"/>
      </w:pPr>
      <w:r>
        <w:rPr>
          <w:rStyle w:val="Funotenzeichen"/>
        </w:rPr>
        <w:footnoteRef/>
      </w:r>
      <w:r>
        <w:t xml:space="preserve"> Informazione scritta ai sensi dell'art. 35k cpv. 1 OPTC, cfr. guida d'applicazione M4.</w:t>
      </w:r>
    </w:p>
  </w:footnote>
  <w:footnote w:id="2">
    <w:p w:rsidR="005C200E" w:rsidRDefault="005C200E" w:rsidP="005C200E">
      <w:pPr>
        <w:pStyle w:val="Fuzeile"/>
      </w:pPr>
      <w:r>
        <w:rPr>
          <w:rStyle w:val="Funotenzeichen"/>
        </w:rPr>
        <w:footnoteRef/>
      </w:r>
      <w:r>
        <w:t xml:space="preserve"> Secondo l'art. 19k cpv. 1 LPTC, per il calcolo del plusvalore risulta determinante il momento dell'entrata in vigore della misura di pianificazione. Ritardi nell'entrata in vigore della misura di pianificazione possono giustificare una nuova valutazione del plusvalore.</w:t>
      </w:r>
    </w:p>
  </w:footnote>
  <w:footnote w:id="3">
    <w:p w:rsidR="00E751C9" w:rsidRDefault="00E751C9" w:rsidP="00E751C9">
      <w:pPr>
        <w:pStyle w:val="Fuzeile"/>
      </w:pPr>
      <w:r>
        <w:rPr>
          <w:rStyle w:val="Funotenzeichen"/>
        </w:rPr>
        <w:footnoteRef/>
      </w:r>
      <w:r>
        <w:t xml:space="preserve"> In presenza di motivi sufficienti, il termine può essere prorogato.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D90739">
          <w:rPr>
            <w:rFonts w:ascii="Arial" w:hAnsi="Arial" w:cs="Arial"/>
            <w:noProof/>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szCs w:val="16"/>
      </w:rPr>
      <w:t>Guida d'applicazione M5</w:t>
    </w:r>
  </w:p>
  <w:p w:rsidR="00A260AA" w:rsidRPr="00A260AA"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16"/>
        <w:szCs w:val="16"/>
      </w:rPr>
    </w:pPr>
    <w:r>
      <w:rPr>
        <w:rFonts w:ascii="Arial" w:hAnsi="Arial"/>
        <w:b/>
        <w:sz w:val="16"/>
        <w:szCs w:val="16"/>
      </w:rPr>
      <w:t>Ufficio per lo sviluppo del territorio dei Grigioni, versione stato 30.01.2020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1057C0"/>
    <w:rsid w:val="00161C61"/>
    <w:rsid w:val="001B1F48"/>
    <w:rsid w:val="002000AB"/>
    <w:rsid w:val="00267E69"/>
    <w:rsid w:val="002C563A"/>
    <w:rsid w:val="00354755"/>
    <w:rsid w:val="00487F0F"/>
    <w:rsid w:val="00490452"/>
    <w:rsid w:val="004F41B0"/>
    <w:rsid w:val="00534F3F"/>
    <w:rsid w:val="005450B5"/>
    <w:rsid w:val="0055695E"/>
    <w:rsid w:val="005C200E"/>
    <w:rsid w:val="00610C87"/>
    <w:rsid w:val="0065730C"/>
    <w:rsid w:val="00681B54"/>
    <w:rsid w:val="00683562"/>
    <w:rsid w:val="007659C2"/>
    <w:rsid w:val="00797350"/>
    <w:rsid w:val="009155AE"/>
    <w:rsid w:val="009B0A23"/>
    <w:rsid w:val="00A14DB6"/>
    <w:rsid w:val="00A260AA"/>
    <w:rsid w:val="00AB75E4"/>
    <w:rsid w:val="00AE78B8"/>
    <w:rsid w:val="00B05748"/>
    <w:rsid w:val="00B327D1"/>
    <w:rsid w:val="00B667F5"/>
    <w:rsid w:val="00BF4F38"/>
    <w:rsid w:val="00BF6C48"/>
    <w:rsid w:val="00C2743F"/>
    <w:rsid w:val="00C80476"/>
    <w:rsid w:val="00D90739"/>
    <w:rsid w:val="00DB42F2"/>
    <w:rsid w:val="00E01761"/>
    <w:rsid w:val="00E649C3"/>
    <w:rsid w:val="00E751C9"/>
    <w:rsid w:val="00EA208C"/>
    <w:rsid w:val="00F54BD6"/>
    <w:rsid w:val="00FD59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F6B4457-EA51-4330-ACD8-BEFA94776447}"/>
</file>

<file path=customXml/itemProps2.xml><?xml version="1.0" encoding="utf-8"?>
<ds:datastoreItem xmlns:ds="http://schemas.openxmlformats.org/officeDocument/2006/customXml" ds:itemID="{65F1FCFE-9930-4987-A084-37250729A79A}"/>
</file>

<file path=customXml/itemProps3.xml><?xml version="1.0" encoding="utf-8"?>
<ds:datastoreItem xmlns:ds="http://schemas.openxmlformats.org/officeDocument/2006/customXml" ds:itemID="{5564DD9E-C2E9-48E4-88AF-5A3BA3B189A7}"/>
</file>

<file path=docProps/app.xml><?xml version="1.0" encoding="utf-8"?>
<Properties xmlns="http://schemas.openxmlformats.org/officeDocument/2006/extended-properties" xmlns:vt="http://schemas.openxmlformats.org/officeDocument/2006/docPropsVTypes">
  <Template>97C52C1C.dotm</Template>
  <TotalTime>0</TotalTime>
  <Pages>2</Pages>
  <Words>394</Words>
  <Characters>2246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 di posizione indirizzata a persone assoggettate alla tassa riguardo alla bozza di tassazione (art. 35k cpv. 2 OPTC)</dc:title>
  <dc:subject/>
  <dc:creator>Corina Caluori</dc:creator>
  <cp:keywords/>
  <dc:description/>
  <cp:lastModifiedBy>Spadaro Paolo</cp:lastModifiedBy>
  <cp:revision>16</cp:revision>
  <dcterms:created xsi:type="dcterms:W3CDTF">2019-12-12T10:00:00Z</dcterms:created>
  <dcterms:modified xsi:type="dcterms:W3CDTF">2020-03-02T11:48:00Z</dcterms:modified>
  <cp:category>Tassa sul plusvalore (TPV) – calcolo, accertamento ed esecuzione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