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681B54" w:rsidRDefault="00681B54" w:rsidP="00A260AA">
      <w:pPr>
        <w:spacing w:after="0" w:line="312" w:lineRule="auto"/>
        <w:rPr>
          <w:rFonts w:ascii="Arial" w:hAnsi="Arial" w:cs="Arial"/>
        </w:rPr>
      </w:pPr>
      <w:r>
        <w:rPr>
          <w:rFonts w:ascii="Arial" w:hAnsi="Arial"/>
        </w:rPr>
        <w:t>Vischnanca da [</w:t>
      </w:r>
      <w:r>
        <w:rPr>
          <w:rFonts w:ascii="Arial" w:hAnsi="Arial"/>
          <w:highlight w:val="lightGray"/>
        </w:rPr>
        <w:t>…</w:t>
      </w:r>
      <w:r>
        <w:rPr>
          <w:rFonts w:ascii="Arial" w:hAnsi="Arial"/>
        </w:rPr>
        <w:t>]</w:t>
      </w:r>
    </w:p>
    <w:p w:rsidR="00681B54" w:rsidRDefault="00681B54" w:rsidP="00A260AA">
      <w:pPr>
        <w:spacing w:after="0" w:line="312" w:lineRule="auto"/>
        <w:rPr>
          <w:rFonts w:ascii="Arial" w:hAnsi="Arial" w:cs="Arial"/>
        </w:rPr>
      </w:pPr>
      <w:r>
        <w:rPr>
          <w:rFonts w:ascii="Arial" w:hAnsi="Arial"/>
        </w:rPr>
        <w:t>[</w:t>
      </w:r>
      <w:r>
        <w:rPr>
          <w:rFonts w:ascii="Arial" w:hAnsi="Arial"/>
          <w:highlight w:val="lightGray"/>
        </w:rPr>
        <w:t>Adressa</w:t>
      </w:r>
      <w:r>
        <w:rPr>
          <w:rFonts w:ascii="Arial" w:hAnsi="Arial"/>
        </w:rPr>
        <w:t>]</w:t>
      </w:r>
    </w:p>
    <w:p w:rsidR="00681B54" w:rsidRDefault="00681B54" w:rsidP="00A260AA">
      <w:pPr>
        <w:spacing w:after="0" w:line="312" w:lineRule="auto"/>
        <w:rPr>
          <w:rFonts w:ascii="Arial" w:hAnsi="Arial" w:cs="Arial"/>
        </w:rPr>
      </w:pPr>
      <w:r>
        <w:rPr>
          <w:rFonts w:ascii="Arial" w:hAnsi="Arial"/>
        </w:rPr>
        <w:t>[</w:t>
      </w:r>
      <w:proofErr w:type="spellStart"/>
      <w:r>
        <w:rPr>
          <w:rFonts w:ascii="Arial" w:hAnsi="Arial"/>
          <w:highlight w:val="lightGray"/>
        </w:rPr>
        <w:t>NP</w:t>
      </w:r>
      <w:proofErr w:type="spellEnd"/>
      <w:r>
        <w:rPr>
          <w:rFonts w:ascii="Arial" w:hAnsi="Arial"/>
          <w:highlight w:val="lightGray"/>
        </w:rPr>
        <w:t xml:space="preserve"> lieu</w:t>
      </w:r>
      <w:r>
        <w:rPr>
          <w:rFonts w:ascii="Arial" w:hAnsi="Arial"/>
        </w:rPr>
        <w:t>]</w:t>
      </w:r>
    </w:p>
    <w:p w:rsidR="00681B54" w:rsidRDefault="00681B54" w:rsidP="00681B54">
      <w:pPr>
        <w:spacing w:after="0" w:line="312" w:lineRule="auto"/>
        <w:rPr>
          <w:rFonts w:ascii="Arial" w:hAnsi="Arial" w:cs="Arial"/>
        </w:rPr>
      </w:pPr>
    </w:p>
    <w:p w:rsidR="00681B54" w:rsidRDefault="0065730C" w:rsidP="003F2816">
      <w:pPr>
        <w:spacing w:after="0" w:line="312" w:lineRule="auto"/>
        <w:ind w:left="4956" w:right="-142" w:firstLine="708"/>
        <w:rPr>
          <w:rFonts w:ascii="Arial" w:hAnsi="Arial" w:cs="Arial"/>
        </w:rPr>
      </w:pPr>
      <w:r>
        <w:rPr>
          <w:rFonts w:ascii="Arial" w:hAnsi="Arial"/>
        </w:rPr>
        <w:t>[</w:t>
      </w:r>
      <w:r>
        <w:rPr>
          <w:rFonts w:ascii="Arial" w:hAnsi="Arial"/>
          <w:highlight w:val="lightGray"/>
        </w:rPr>
        <w:t>Proprietari/-a dal b</w:t>
      </w:r>
      <w:bookmarkStart w:id="0" w:name="_GoBack"/>
      <w:bookmarkEnd w:id="0"/>
      <w:r>
        <w:rPr>
          <w:rFonts w:ascii="Arial" w:hAnsi="Arial"/>
          <w:highlight w:val="lightGray"/>
        </w:rPr>
        <w:t>ain immobigliar</w:t>
      </w:r>
      <w:r>
        <w:rPr>
          <w:rFonts w:ascii="Arial" w:hAnsi="Arial"/>
        </w:rPr>
        <w:t>]</w:t>
      </w:r>
    </w:p>
    <w:p w:rsidR="0065730C" w:rsidRDefault="0065730C" w:rsidP="00A260AA">
      <w:pPr>
        <w:spacing w:after="0" w:line="312" w:lineRule="auto"/>
        <w:ind w:left="4956" w:firstLine="708"/>
        <w:rPr>
          <w:rFonts w:ascii="Arial" w:hAnsi="Arial" w:cs="Arial"/>
        </w:rPr>
      </w:pPr>
      <w:r>
        <w:rPr>
          <w:rFonts w:ascii="Arial" w:hAnsi="Arial"/>
        </w:rPr>
        <w:t>[</w:t>
      </w:r>
      <w:r>
        <w:rPr>
          <w:rFonts w:ascii="Arial" w:hAnsi="Arial"/>
          <w:highlight w:val="lightGray"/>
        </w:rPr>
        <w:t>Adressa</w:t>
      </w:r>
      <w:r>
        <w:rPr>
          <w:rFonts w:ascii="Arial" w:hAnsi="Arial"/>
        </w:rPr>
        <w:t>]</w:t>
      </w:r>
    </w:p>
    <w:p w:rsidR="0065730C" w:rsidRPr="00681B54" w:rsidRDefault="0065730C" w:rsidP="00A260AA">
      <w:pPr>
        <w:spacing w:after="0" w:line="312" w:lineRule="auto"/>
        <w:ind w:left="4956" w:firstLine="708"/>
        <w:rPr>
          <w:rFonts w:ascii="Arial" w:hAnsi="Arial" w:cs="Arial"/>
        </w:rPr>
      </w:pPr>
      <w:r>
        <w:rPr>
          <w:rFonts w:ascii="Arial" w:hAnsi="Arial"/>
        </w:rPr>
        <w:t>[</w:t>
      </w:r>
      <w:proofErr w:type="spellStart"/>
      <w:r>
        <w:rPr>
          <w:rFonts w:ascii="Arial" w:hAnsi="Arial"/>
          <w:highlight w:val="lightGray"/>
        </w:rPr>
        <w:t>NP</w:t>
      </w:r>
      <w:proofErr w:type="spellEnd"/>
      <w:r>
        <w:rPr>
          <w:rFonts w:ascii="Arial" w:hAnsi="Arial"/>
          <w:highlight w:val="lightGray"/>
        </w:rPr>
        <w:t xml:space="preserve"> lieu</w:t>
      </w:r>
      <w:r>
        <w:rPr>
          <w:rFonts w:ascii="Arial" w:hAnsi="Arial"/>
        </w:rPr>
        <w:t>]</w:t>
      </w:r>
    </w:p>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681B54" w:rsidRPr="007659C2" w:rsidRDefault="00681B54" w:rsidP="00A260AA">
      <w:pPr>
        <w:spacing w:after="0" w:line="312" w:lineRule="auto"/>
        <w:ind w:left="4956" w:firstLine="708"/>
        <w:rPr>
          <w:rFonts w:ascii="Arial" w:hAnsi="Arial" w:cs="Arial"/>
        </w:rPr>
      </w:pPr>
      <w:r>
        <w:rPr>
          <w:rFonts w:ascii="Arial" w:hAnsi="Arial"/>
        </w:rPr>
        <w:t>[</w:t>
      </w:r>
      <w:r>
        <w:rPr>
          <w:rFonts w:ascii="Arial" w:hAnsi="Arial"/>
          <w:highlight w:val="lightGray"/>
        </w:rPr>
        <w:t>Lieu, data</w:t>
      </w:r>
      <w:r>
        <w:rPr>
          <w:rFonts w:ascii="Arial" w:hAnsi="Arial"/>
        </w:rPr>
        <w:t>]</w:t>
      </w: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1057C0" w:rsidRDefault="001B1F48" w:rsidP="00681B54">
      <w:pPr>
        <w:spacing w:after="0" w:line="312" w:lineRule="auto"/>
        <w:rPr>
          <w:rFonts w:ascii="Arial" w:hAnsi="Arial" w:cs="Arial"/>
          <w:b/>
        </w:rPr>
      </w:pPr>
      <w:r>
        <w:rPr>
          <w:rFonts w:ascii="Arial" w:hAnsi="Arial"/>
          <w:b/>
        </w:rPr>
        <w:t xml:space="preserve">Procedura per la fixaziun da la taxa da plivalur per avantatgs da planisaziun tenor ils art. 19i ss. </w:t>
      </w:r>
      <w:proofErr w:type="spellStart"/>
      <w:r>
        <w:rPr>
          <w:rFonts w:ascii="Arial" w:hAnsi="Arial"/>
          <w:b/>
        </w:rPr>
        <w:t>LPTGR</w:t>
      </w:r>
      <w:proofErr w:type="spellEnd"/>
      <w:r>
        <w:rPr>
          <w:rFonts w:ascii="Arial" w:hAnsi="Arial"/>
          <w:b/>
        </w:rPr>
        <w:t>; occasiun da prender posiziun</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1057C0" w:rsidRDefault="001057C0" w:rsidP="001057C0">
      <w:pPr>
        <w:pStyle w:val="Anrede1"/>
        <w:rPr>
          <w:rFonts w:ascii="Arial" w:hAnsi="Arial" w:cs="Arial"/>
          <w:sz w:val="22"/>
          <w:szCs w:val="22"/>
        </w:rPr>
      </w:pPr>
      <w:r>
        <w:rPr>
          <w:rFonts w:ascii="Arial" w:hAnsi="Arial"/>
          <w:sz w:val="22"/>
          <w:szCs w:val="22"/>
        </w:rPr>
        <w:t>[</w:t>
      </w:r>
      <w:r>
        <w:rPr>
          <w:rFonts w:ascii="Arial" w:hAnsi="Arial"/>
          <w:sz w:val="22"/>
          <w:szCs w:val="22"/>
          <w:highlight w:val="lightGray"/>
        </w:rPr>
        <w:t>Stimada dunna … / Stimà signur …</w:t>
      </w:r>
      <w:r>
        <w:rPr>
          <w:rFonts w:ascii="Arial" w:hAnsi="Arial"/>
          <w:sz w:val="22"/>
          <w:szCs w:val="22"/>
        </w:rPr>
        <w:t>]</w:t>
      </w:r>
    </w:p>
    <w:p w:rsidR="001B1F48" w:rsidRDefault="001B1F48" w:rsidP="001057C0">
      <w:pPr>
        <w:rPr>
          <w:rFonts w:ascii="Arial" w:hAnsi="Arial" w:cs="Arial"/>
        </w:rPr>
      </w:pPr>
      <w:r>
        <w:rPr>
          <w:rFonts w:ascii="Arial" w:hAnsi="Arial"/>
        </w:rPr>
        <w:t>Cun la brev [</w:t>
      </w:r>
      <w:r>
        <w:rPr>
          <w:rFonts w:ascii="Arial" w:hAnsi="Arial"/>
          <w:highlight w:val="lightGray"/>
        </w:rPr>
        <w:t>dal/dals</w:t>
      </w:r>
      <w:r>
        <w:rPr>
          <w:rFonts w:ascii="Arial" w:hAnsi="Arial"/>
        </w:rPr>
        <w:t>] [</w:t>
      </w:r>
      <w:r>
        <w:rPr>
          <w:rFonts w:ascii="Arial" w:hAnsi="Arial"/>
          <w:highlight w:val="lightGray"/>
        </w:rPr>
        <w:t>…</w:t>
      </w:r>
      <w:r>
        <w:rPr>
          <w:rFonts w:ascii="Arial" w:hAnsi="Arial"/>
        </w:rPr>
        <w:t>]</w:t>
      </w:r>
      <w:r>
        <w:rPr>
          <w:rStyle w:val="Funotenzeichen"/>
          <w:rFonts w:ascii="Arial" w:hAnsi="Arial" w:cs="Arial"/>
        </w:rPr>
        <w:footnoteReference w:id="1"/>
      </w:r>
      <w:r>
        <w:rPr>
          <w:rFonts w:ascii="Arial" w:hAnsi="Arial"/>
        </w:rPr>
        <w:t xml:space="preserve"> essas Vus [</w:t>
      </w:r>
      <w:r>
        <w:rPr>
          <w:rFonts w:ascii="Arial" w:hAnsi="Arial"/>
          <w:highlight w:val="lightGray"/>
        </w:rPr>
        <w:t>vegnida infurmada / vegnì infurmà</w:t>
      </w:r>
      <w:r>
        <w:rPr>
          <w:rFonts w:ascii="Arial" w:hAnsi="Arial"/>
        </w:rPr>
        <w:t>] che la revisiun [</w:t>
      </w:r>
      <w:r>
        <w:rPr>
          <w:rFonts w:ascii="Arial" w:hAnsi="Arial"/>
          <w:highlight w:val="lightGray"/>
        </w:rPr>
        <w:t>parziala</w:t>
      </w:r>
      <w:r>
        <w:rPr>
          <w:rFonts w:ascii="Arial" w:hAnsi="Arial"/>
        </w:rPr>
        <w:t>] previsa da la [</w:t>
      </w:r>
      <w:r>
        <w:rPr>
          <w:rFonts w:ascii="Arial" w:hAnsi="Arial"/>
          <w:highlight w:val="lightGray"/>
        </w:rPr>
        <w:t>planisaziun locala</w:t>
      </w:r>
      <w:r>
        <w:rPr>
          <w:rFonts w:ascii="Arial" w:hAnsi="Arial"/>
        </w:rPr>
        <w:t>] vegnia a chaschunar in'obligaziun da pajar ina taxa per avantatgs da planisaziun, e che Vus, sco [</w:t>
      </w:r>
      <w:r>
        <w:rPr>
          <w:rFonts w:ascii="Arial" w:hAnsi="Arial"/>
          <w:highlight w:val="lightGray"/>
        </w:rPr>
        <w:t>proprietaria / proprietari</w:t>
      </w:r>
      <w:r>
        <w:rPr>
          <w:rFonts w:ascii="Arial" w:hAnsi="Arial"/>
        </w:rPr>
        <w:t>] d'in bain immobigliar che vegn enzonà [</w:t>
      </w:r>
      <w:r>
        <w:rPr>
          <w:rFonts w:ascii="Arial" w:hAnsi="Arial"/>
          <w:highlight w:val="lightGray"/>
        </w:rPr>
        <w:t xml:space="preserve">che mida zona / che vegn </w:t>
      </w:r>
      <w:proofErr w:type="spellStart"/>
      <w:r>
        <w:rPr>
          <w:rFonts w:ascii="Arial" w:hAnsi="Arial"/>
          <w:highlight w:val="lightGray"/>
        </w:rPr>
        <w:t>azonà</w:t>
      </w:r>
      <w:proofErr w:type="spellEnd"/>
      <w:r>
        <w:rPr>
          <w:rFonts w:ascii="Arial" w:hAnsi="Arial"/>
        </w:rPr>
        <w:t>] (bain immobigliar nr. [</w:t>
      </w:r>
      <w:r>
        <w:rPr>
          <w:rFonts w:ascii="Arial" w:hAnsi="Arial"/>
          <w:highlight w:val="lightGray"/>
        </w:rPr>
        <w:t>…</w:t>
      </w:r>
      <w:r>
        <w:rPr>
          <w:rFonts w:ascii="Arial" w:hAnsi="Arial"/>
        </w:rPr>
        <w:t>]), sajas [</w:t>
      </w:r>
      <w:r>
        <w:rPr>
          <w:rFonts w:ascii="Arial" w:hAnsi="Arial"/>
          <w:highlight w:val="lightGray"/>
        </w:rPr>
        <w:t>obligada / obligà</w:t>
      </w:r>
      <w:r>
        <w:rPr>
          <w:rFonts w:ascii="Arial" w:hAnsi="Arial"/>
        </w:rPr>
        <w:t>] da pajar la taxa.</w:t>
      </w:r>
    </w:p>
    <w:p w:rsidR="00B05748" w:rsidRDefault="001B1F48" w:rsidP="001057C0">
      <w:pPr>
        <w:rPr>
          <w:rFonts w:ascii="Arial" w:hAnsi="Arial" w:cs="Arial"/>
        </w:rPr>
      </w:pPr>
      <w:r>
        <w:rPr>
          <w:rFonts w:ascii="Arial" w:hAnsi="Arial"/>
        </w:rPr>
        <w:t>En il fratemp ha la vischnanca survegnì l'expertisa da valitaziun da l'Uffizi chantunal per la valitaziun d'immobiglias (guardar agiunta). Tenor quella importa la plivalur decisiva per avantatgs da planisaziun per Voss bain immobigliar nr. [</w:t>
      </w:r>
      <w:r>
        <w:rPr>
          <w:rFonts w:ascii="Arial" w:hAnsi="Arial"/>
          <w:highlight w:val="lightGray"/>
        </w:rPr>
        <w:t>…</w:t>
      </w:r>
      <w:r>
        <w:rPr>
          <w:rFonts w:ascii="Arial" w:hAnsi="Arial"/>
        </w:rPr>
        <w:t>] previsiblamain</w:t>
      </w:r>
      <w:r w:rsidR="005C200E">
        <w:rPr>
          <w:rStyle w:val="Funotenzeichen"/>
          <w:rFonts w:ascii="Arial" w:hAnsi="Arial" w:cs="Arial"/>
        </w:rPr>
        <w:footnoteReference w:id="2"/>
      </w:r>
      <w:r>
        <w:rPr>
          <w:rFonts w:ascii="Arial" w:hAnsi="Arial"/>
        </w:rPr>
        <w:t xml:space="preserve"> [</w:t>
      </w:r>
      <w:r>
        <w:rPr>
          <w:rFonts w:ascii="Arial" w:hAnsi="Arial"/>
          <w:highlight w:val="lightGray"/>
        </w:rPr>
        <w:t>…</w:t>
      </w:r>
      <w:r>
        <w:rPr>
          <w:rFonts w:ascii="Arial" w:hAnsi="Arial"/>
        </w:rPr>
        <w:t>] francs. En la vischnanca da [</w:t>
      </w:r>
      <w:r>
        <w:rPr>
          <w:rFonts w:ascii="Arial" w:hAnsi="Arial"/>
          <w:highlight w:val="lightGray"/>
        </w:rPr>
        <w:t>…</w:t>
      </w:r>
      <w:r>
        <w:rPr>
          <w:rFonts w:ascii="Arial" w:hAnsi="Arial"/>
        </w:rPr>
        <w:t>] importa l'autezza da la taxa da plivalur [</w:t>
      </w:r>
      <w:r>
        <w:rPr>
          <w:rFonts w:ascii="Arial" w:hAnsi="Arial"/>
          <w:highlight w:val="lightGray"/>
        </w:rPr>
        <w:t>…</w:t>
      </w:r>
      <w:r>
        <w:rPr>
          <w:rFonts w:ascii="Arial" w:hAnsi="Arial"/>
        </w:rPr>
        <w:t>] pertschient da la plivalur decisiva. Uschia importa la taxa da plivalur per l'avantatg da planisaziun per il bain immobigliar nr. [</w:t>
      </w:r>
      <w:r>
        <w:rPr>
          <w:rFonts w:ascii="Arial" w:hAnsi="Arial"/>
          <w:highlight w:val="lightGray"/>
        </w:rPr>
        <w:t>…</w:t>
      </w:r>
      <w:r>
        <w:rPr>
          <w:rFonts w:ascii="Arial" w:hAnsi="Arial"/>
        </w:rPr>
        <w:t>] previsiblamain [</w:t>
      </w:r>
      <w:r>
        <w:rPr>
          <w:rFonts w:ascii="Arial" w:hAnsi="Arial"/>
          <w:highlight w:val="lightGray"/>
        </w:rPr>
        <w:t>…</w:t>
      </w:r>
      <w:r>
        <w:rPr>
          <w:rFonts w:ascii="Arial" w:hAnsi="Arial"/>
        </w:rPr>
        <w:t>] francs.</w:t>
      </w:r>
    </w:p>
    <w:p w:rsidR="00B05748" w:rsidRDefault="00E649C3" w:rsidP="001057C0">
      <w:pPr>
        <w:rPr>
          <w:rFonts w:ascii="Arial" w:hAnsi="Arial" w:cs="Arial"/>
        </w:rPr>
      </w:pPr>
      <w:r>
        <w:rPr>
          <w:rFonts w:ascii="Arial" w:hAnsi="Arial"/>
        </w:rPr>
        <w:t xml:space="preserve">Vus survegnis l'occasiun d'inoltrar ina </w:t>
      </w:r>
      <w:r>
        <w:rPr>
          <w:rFonts w:ascii="Arial" w:hAnsi="Arial"/>
          <w:u w:val="single"/>
        </w:rPr>
        <w:t>posiziun</w:t>
      </w:r>
      <w:r>
        <w:rPr>
          <w:rFonts w:ascii="Arial" w:hAnsi="Arial"/>
        </w:rPr>
        <w:t xml:space="preserve"> en chaussa </w:t>
      </w:r>
      <w:r>
        <w:rPr>
          <w:rFonts w:ascii="Arial" w:hAnsi="Arial"/>
          <w:u w:val="single"/>
        </w:rPr>
        <w:t>entaifer 14 dis</w:t>
      </w:r>
      <w:r w:rsidR="00E751C9">
        <w:rPr>
          <w:rStyle w:val="Funotenzeichen"/>
          <w:rFonts w:ascii="Arial" w:hAnsi="Arial" w:cs="Arial"/>
        </w:rPr>
        <w:footnoteReference w:id="3"/>
      </w:r>
      <w:r>
        <w:rPr>
          <w:rFonts w:ascii="Arial" w:hAnsi="Arial"/>
        </w:rPr>
        <w:t>.</w:t>
      </w:r>
    </w:p>
    <w:p w:rsidR="00E649C3" w:rsidRDefault="00E649C3" w:rsidP="001057C0">
      <w:pPr>
        <w:rPr>
          <w:rFonts w:ascii="Arial" w:hAnsi="Arial" w:cs="Arial"/>
        </w:rPr>
      </w:pPr>
      <w:r>
        <w:rPr>
          <w:rFonts w:ascii="Arial" w:hAnsi="Arial"/>
        </w:rPr>
        <w:t>Sche las votantas ed ils votants da la vischnanca da [</w:t>
      </w:r>
      <w:r>
        <w:rPr>
          <w:rFonts w:ascii="Arial" w:hAnsi="Arial"/>
          <w:highlight w:val="lightGray"/>
        </w:rPr>
        <w:t>…</w:t>
      </w:r>
      <w:r>
        <w:rPr>
          <w:rFonts w:ascii="Arial" w:hAnsi="Arial"/>
        </w:rPr>
        <w:t>] approveschan la revisiun [</w:t>
      </w:r>
      <w:r>
        <w:rPr>
          <w:rFonts w:ascii="Arial" w:hAnsi="Arial"/>
          <w:highlight w:val="lightGray"/>
        </w:rPr>
        <w:t>parziala</w:t>
      </w:r>
      <w:r>
        <w:rPr>
          <w:rFonts w:ascii="Arial" w:hAnsi="Arial"/>
        </w:rPr>
        <w:t>] previsa da la [</w:t>
      </w:r>
      <w:r>
        <w:rPr>
          <w:rFonts w:ascii="Arial" w:hAnsi="Arial"/>
          <w:highlight w:val="lightGray"/>
        </w:rPr>
        <w:t>planisaziun locala</w:t>
      </w:r>
      <w:r>
        <w:rPr>
          <w:rFonts w:ascii="Arial" w:hAnsi="Arial"/>
        </w:rPr>
        <w:t xml:space="preserve">], vegn la vischnanca a fixar la taxa da plivalur cun ina disposiziun contestabla, immediat suenter che la mesira da planisaziun ha survegnì vigur legala. In sboz da questa disposiziun da taxaziun è agiuntà a questa brev. Cur che la disposiziun da taxaziun survegn vigur legala, vegnan remartgads en il register funsil </w:t>
      </w:r>
      <w:r>
        <w:rPr>
          <w:rFonts w:ascii="Arial" w:hAnsi="Arial"/>
        </w:rPr>
        <w:lastRenderedPageBreak/>
        <w:t xml:space="preserve">l'obligaziun da pajar la taxa ed il dretg da pegn legal per segirar questa taxa (art. 19w al. 2 cifra 6 ed al. 3 </w:t>
      </w:r>
      <w:proofErr w:type="spellStart"/>
      <w:r>
        <w:rPr>
          <w:rFonts w:ascii="Arial" w:hAnsi="Arial"/>
        </w:rPr>
        <w:t>LPTGR</w:t>
      </w:r>
      <w:proofErr w:type="spellEnd"/>
      <w:r>
        <w:rPr>
          <w:rFonts w:ascii="Arial" w:hAnsi="Arial"/>
        </w:rPr>
        <w:t>).</w:t>
      </w:r>
    </w:p>
    <w:p w:rsidR="0055695E" w:rsidRDefault="0055695E" w:rsidP="001057C0">
      <w:pPr>
        <w:rPr>
          <w:rFonts w:ascii="Arial" w:hAnsi="Arial" w:cs="Arial"/>
        </w:rPr>
      </w:pPr>
    </w:p>
    <w:p w:rsidR="00AB75E4" w:rsidRDefault="00E01761" w:rsidP="00AB75E4">
      <w:pPr>
        <w:tabs>
          <w:tab w:val="left" w:pos="284"/>
        </w:tabs>
        <w:spacing w:after="0" w:line="312" w:lineRule="auto"/>
        <w:jc w:val="both"/>
        <w:rPr>
          <w:rFonts w:ascii="Arial" w:hAnsi="Arial" w:cs="Arial"/>
        </w:rPr>
      </w:pPr>
      <w:r>
        <w:rPr>
          <w:rFonts w:ascii="Arial" w:hAnsi="Arial"/>
        </w:rPr>
        <w:t>Nus As supplitgain per enconuschientscha. En cas da dumondas stain nus gugent a Vossa disposiziun.</w:t>
      </w:r>
    </w:p>
    <w:p w:rsidR="00AB75E4" w:rsidRDefault="00AB75E4" w:rsidP="00AB75E4">
      <w:pPr>
        <w:tabs>
          <w:tab w:val="left" w:pos="284"/>
        </w:tabs>
        <w:spacing w:after="0" w:line="312" w:lineRule="auto"/>
        <w:ind w:left="284" w:hanging="284"/>
        <w:jc w:val="both"/>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r>
        <w:rPr>
          <w:rFonts w:ascii="Arial" w:hAnsi="Arial"/>
        </w:rPr>
        <w:t>Salids amicabels</w:t>
      </w:r>
    </w:p>
    <w:p w:rsidR="00AB75E4"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Pr>
          <w:rFonts w:ascii="Arial" w:hAnsi="Arial"/>
        </w:rPr>
        <w:t>Vischnanca da [</w:t>
      </w:r>
      <w:r>
        <w:rPr>
          <w:rFonts w:ascii="Arial" w:hAnsi="Arial"/>
          <w:highlight w:val="lightGray"/>
        </w:rPr>
        <w:t>…</w:t>
      </w:r>
      <w:r>
        <w:rPr>
          <w:rFonts w:ascii="Arial" w:hAnsi="Arial"/>
        </w:rPr>
        <w:t>]</w:t>
      </w: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Pr>
          <w:rFonts w:ascii="Arial" w:hAnsi="Arial"/>
        </w:rPr>
        <w:t>……………………………………</w:t>
      </w:r>
      <w:r>
        <w:rPr>
          <w:rFonts w:ascii="Arial" w:hAnsi="Arial"/>
        </w:rPr>
        <w:tab/>
      </w:r>
      <w:r>
        <w:rPr>
          <w:rFonts w:ascii="Arial" w:hAnsi="Arial"/>
        </w:rPr>
        <w:tab/>
      </w:r>
      <w:r>
        <w:rPr>
          <w:rFonts w:ascii="Arial" w:hAnsi="Arial"/>
        </w:rPr>
        <w:tab/>
        <w:t>……………………………………</w:t>
      </w:r>
    </w:p>
    <w:p w:rsidR="00AB75E4" w:rsidRPr="0036258E" w:rsidRDefault="00AB75E4" w:rsidP="00AB75E4">
      <w:pPr>
        <w:tabs>
          <w:tab w:val="left" w:pos="284"/>
        </w:tabs>
        <w:spacing w:after="0" w:line="312" w:lineRule="auto"/>
        <w:ind w:left="284" w:hanging="284"/>
        <w:jc w:val="both"/>
        <w:rPr>
          <w:rFonts w:ascii="Arial" w:hAnsi="Arial" w:cs="Arial"/>
        </w:rPr>
      </w:pPr>
      <w:r>
        <w:rPr>
          <w:rFonts w:ascii="Arial" w:hAnsi="Arial"/>
        </w:rPr>
        <w:t>[</w:t>
      </w:r>
      <w:r>
        <w:rPr>
          <w:rFonts w:ascii="Arial" w:hAnsi="Arial"/>
          <w:highlight w:val="lightGray"/>
        </w:rPr>
        <w:t>Il/La president/-a communal/-a</w:t>
      </w:r>
      <w:r>
        <w:rPr>
          <w:rFonts w:ascii="Arial" w:hAnsi="Arial"/>
        </w:rPr>
        <w:t>]</w:t>
      </w:r>
      <w:r>
        <w:rPr>
          <w:rFonts w:ascii="Arial" w:hAnsi="Arial"/>
        </w:rPr>
        <w:tab/>
      </w:r>
      <w:r>
        <w:rPr>
          <w:rFonts w:ascii="Arial" w:hAnsi="Arial"/>
        </w:rPr>
        <w:tab/>
      </w:r>
      <w:r>
        <w:rPr>
          <w:rFonts w:ascii="Arial" w:hAnsi="Arial"/>
        </w:rPr>
        <w:tab/>
        <w:t>[</w:t>
      </w:r>
      <w:r>
        <w:rPr>
          <w:rFonts w:ascii="Arial" w:hAnsi="Arial"/>
          <w:highlight w:val="lightGray"/>
        </w:rPr>
        <w:t>Il/La chanzlist/-a communal/-a</w:t>
      </w:r>
      <w:r>
        <w:rPr>
          <w:rFonts w:ascii="Arial" w:hAnsi="Arial"/>
        </w:rPr>
        <w:t>]</w:t>
      </w:r>
    </w:p>
    <w:p w:rsidR="001057C0" w:rsidRDefault="001057C0" w:rsidP="001057C0">
      <w:pPr>
        <w:rPr>
          <w:rFonts w:ascii="Arial" w:hAnsi="Arial" w:cs="Arial"/>
        </w:rPr>
      </w:pPr>
    </w:p>
    <w:p w:rsidR="001057C0" w:rsidRDefault="001057C0" w:rsidP="001057C0">
      <w:pPr>
        <w:rPr>
          <w:rFonts w:ascii="Arial" w:hAnsi="Arial" w:cs="Arial"/>
        </w:rPr>
      </w:pPr>
    </w:p>
    <w:p w:rsidR="00681B54" w:rsidRDefault="00B05748" w:rsidP="00681B54">
      <w:pPr>
        <w:tabs>
          <w:tab w:val="left" w:pos="284"/>
        </w:tabs>
        <w:spacing w:after="0" w:line="312" w:lineRule="auto"/>
        <w:ind w:left="284" w:hanging="284"/>
        <w:jc w:val="both"/>
        <w:rPr>
          <w:rFonts w:ascii="Arial" w:hAnsi="Arial" w:cs="Arial"/>
        </w:rPr>
      </w:pPr>
      <w:r>
        <w:rPr>
          <w:rFonts w:ascii="Arial" w:hAnsi="Arial"/>
        </w:rPr>
        <w:t>Agiunta:</w:t>
      </w:r>
    </w:p>
    <w:p w:rsidR="00B05748" w:rsidRDefault="00B05748" w:rsidP="00B05748">
      <w:pPr>
        <w:pStyle w:val="Listenabsatz"/>
        <w:numPr>
          <w:ilvl w:val="0"/>
          <w:numId w:val="5"/>
        </w:numPr>
        <w:tabs>
          <w:tab w:val="left" w:pos="284"/>
        </w:tabs>
        <w:spacing w:line="312" w:lineRule="auto"/>
        <w:jc w:val="both"/>
        <w:rPr>
          <w:rFonts w:ascii="Arial" w:hAnsi="Arial" w:cs="Arial"/>
        </w:rPr>
      </w:pPr>
      <w:r>
        <w:rPr>
          <w:rFonts w:ascii="Arial" w:hAnsi="Arial"/>
        </w:rPr>
        <w:t>expertisa da valitaziun da l'Uffizi per la valitaziun d'immobiglias</w:t>
      </w:r>
    </w:p>
    <w:p w:rsidR="00B667F5" w:rsidRPr="00B05748" w:rsidRDefault="00B667F5" w:rsidP="00B05748">
      <w:pPr>
        <w:pStyle w:val="Listenabsatz"/>
        <w:numPr>
          <w:ilvl w:val="0"/>
          <w:numId w:val="5"/>
        </w:numPr>
        <w:tabs>
          <w:tab w:val="left" w:pos="284"/>
        </w:tabs>
        <w:spacing w:line="312" w:lineRule="auto"/>
        <w:jc w:val="both"/>
        <w:rPr>
          <w:rFonts w:ascii="Arial" w:hAnsi="Arial" w:cs="Arial"/>
        </w:rPr>
      </w:pPr>
      <w:r>
        <w:rPr>
          <w:rFonts w:ascii="Arial" w:hAnsi="Arial"/>
        </w:rPr>
        <w:t>sboz da la disposiziun da taxaziun da la taxa da plivalur per avantatgs da planisaziun</w:t>
      </w:r>
    </w:p>
    <w:p w:rsidR="00681B54" w:rsidRDefault="00681B54" w:rsidP="00681B54">
      <w:pPr>
        <w:tabs>
          <w:tab w:val="left" w:pos="284"/>
        </w:tabs>
        <w:spacing w:after="0" w:line="312" w:lineRule="auto"/>
        <w:ind w:left="284" w:hanging="284"/>
        <w:jc w:val="both"/>
        <w:rPr>
          <w:rFonts w:ascii="Arial" w:hAnsi="Arial" w:cs="Arial"/>
        </w:rPr>
      </w:pPr>
    </w:p>
    <w:p w:rsidR="00B05748" w:rsidRDefault="00B05748" w:rsidP="00681B54">
      <w:pPr>
        <w:tabs>
          <w:tab w:val="left" w:pos="284"/>
        </w:tabs>
        <w:spacing w:after="0" w:line="312" w:lineRule="auto"/>
        <w:ind w:left="284" w:hanging="284"/>
        <w:jc w:val="both"/>
        <w:rPr>
          <w:rFonts w:ascii="Arial" w:hAnsi="Arial" w:cs="Arial"/>
        </w:rPr>
      </w:pPr>
    </w:p>
    <w:p w:rsidR="00B05748" w:rsidRDefault="00B05748" w:rsidP="00681B54">
      <w:pPr>
        <w:tabs>
          <w:tab w:val="left" w:pos="284"/>
        </w:tabs>
        <w:spacing w:after="0" w:line="312" w:lineRule="auto"/>
        <w:ind w:left="284" w:hanging="284"/>
        <w:jc w:val="both"/>
        <w:rPr>
          <w:rFonts w:ascii="Arial" w:hAnsi="Arial" w:cs="Arial"/>
        </w:rPr>
      </w:pPr>
    </w:p>
    <w:p w:rsidR="00B05748" w:rsidRPr="00DB42F2" w:rsidRDefault="00B05748" w:rsidP="00681B54">
      <w:pPr>
        <w:tabs>
          <w:tab w:val="left" w:pos="284"/>
        </w:tabs>
        <w:spacing w:after="0" w:line="312" w:lineRule="auto"/>
        <w:ind w:left="284" w:hanging="284"/>
        <w:jc w:val="both"/>
        <w:rPr>
          <w:rFonts w:ascii="Arial" w:hAnsi="Arial" w:cs="Arial"/>
        </w:rPr>
      </w:pPr>
    </w:p>
    <w:p w:rsidR="00610C87" w:rsidRPr="00610C87"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rFonts w:ascii="Arial" w:hAnsi="Arial"/>
          <w:u w:val="single"/>
        </w:rPr>
        <w:t>Infurmaziun da diever:</w:t>
      </w:r>
      <w:r>
        <w:rPr>
          <w:rFonts w:ascii="Arial" w:hAnsi="Arial"/>
        </w:rPr>
        <w:t xml:space="preserve"> Quest text da model è in agid dal chantun. Sias formulaziuns èn mo propostas. Las passaschas che la vischnanca sto cumplettar u precisar èn marcadas cun parantesas quadras […] che cuntegnan variablas sin fund grisch.</w:t>
      </w:r>
    </w:p>
    <w:p w:rsidR="00F2420F" w:rsidRPr="00681B54" w:rsidRDefault="003F2816">
      <w:pPr>
        <w:rPr>
          <w:rFonts w:ascii="Arial" w:hAnsi="Arial" w:cs="Arial"/>
        </w:rPr>
      </w:pPr>
    </w:p>
    <w:sectPr w:rsidR="00F2420F" w:rsidRPr="00681B54" w:rsidSect="00610C87">
      <w:headerReference w:type="default" r:id="rId7"/>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54" w:rsidRDefault="00681B54" w:rsidP="00681B54">
      <w:pPr>
        <w:spacing w:after="0" w:line="240" w:lineRule="auto"/>
      </w:pPr>
      <w:r>
        <w:separator/>
      </w:r>
    </w:p>
  </w:endnote>
  <w:endnote w:type="continuationSeparator" w:id="0">
    <w:p w:rsidR="00681B54" w:rsidRDefault="00681B54"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54" w:rsidRDefault="00681B54" w:rsidP="00681B54">
      <w:pPr>
        <w:spacing w:after="0" w:line="240" w:lineRule="auto"/>
      </w:pPr>
      <w:r>
        <w:separator/>
      </w:r>
    </w:p>
  </w:footnote>
  <w:footnote w:type="continuationSeparator" w:id="0">
    <w:p w:rsidR="00681B54" w:rsidRDefault="00681B54" w:rsidP="00681B54">
      <w:pPr>
        <w:spacing w:after="0" w:line="240" w:lineRule="auto"/>
      </w:pPr>
      <w:r>
        <w:continuationSeparator/>
      </w:r>
    </w:p>
  </w:footnote>
  <w:footnote w:id="1">
    <w:p w:rsidR="001B1F48" w:rsidRDefault="001B1F48" w:rsidP="005C200E">
      <w:pPr>
        <w:pStyle w:val="Fuzeile"/>
      </w:pPr>
      <w:r>
        <w:rPr>
          <w:rStyle w:val="Funotenzeichen"/>
        </w:rPr>
        <w:footnoteRef/>
      </w:r>
      <w:r>
        <w:t xml:space="preserve"> Annunzia en scrit en il senn da l'art. 35k al. 1 </w:t>
      </w:r>
      <w:proofErr w:type="spellStart"/>
      <w:r>
        <w:t>OPTGR</w:t>
      </w:r>
      <w:proofErr w:type="spellEnd"/>
      <w:r>
        <w:t>, cf. Agid d'execuziun M4.</w:t>
      </w:r>
    </w:p>
  </w:footnote>
  <w:footnote w:id="2">
    <w:p w:rsidR="005C200E" w:rsidRDefault="005C200E" w:rsidP="005C200E">
      <w:pPr>
        <w:pStyle w:val="Fuzeile"/>
      </w:pPr>
      <w:r>
        <w:rPr>
          <w:rStyle w:val="Funotenzeichen"/>
        </w:rPr>
        <w:footnoteRef/>
      </w:r>
      <w:r>
        <w:t xml:space="preserve"> Decisiv per calcular la plivalur è – tenor l'art. 19k al. 1 </w:t>
      </w:r>
      <w:proofErr w:type="spellStart"/>
      <w:r>
        <w:t>LPTGR</w:t>
      </w:r>
      <w:proofErr w:type="spellEnd"/>
      <w:r>
        <w:t xml:space="preserve"> – il mument che la mesira da planisaziun entra en vigur. En cas da retards tar l'entrada en vigur da la mesira da planisaziun poi esser giustifitgà che la plivalur vegn valitada anc ina giada.</w:t>
      </w:r>
    </w:p>
  </w:footnote>
  <w:footnote w:id="3">
    <w:p w:rsidR="00E751C9" w:rsidRDefault="00E751C9" w:rsidP="00E751C9">
      <w:pPr>
        <w:pStyle w:val="Fuzeile"/>
      </w:pPr>
      <w:r>
        <w:rPr>
          <w:rStyle w:val="Funotenzeichen"/>
        </w:rPr>
        <w:footnoteRef/>
      </w:r>
      <w:r>
        <w:t xml:space="preserve"> Ina prolungaziun dal termin è pussaivla en cas da motivs suffizients.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3F2816">
          <w:rPr>
            <w:rFonts w:ascii="Arial" w:hAnsi="Arial" w:cs="Arial"/>
            <w:noProof/>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Pr>
        <w:rFonts w:ascii="Arial" w:hAnsi="Arial"/>
        <w:b/>
        <w:sz w:val="24"/>
        <w:szCs w:val="16"/>
      </w:rPr>
      <w:t>Agid d'execuziun M5</w:t>
    </w:r>
  </w:p>
  <w:p w:rsidR="00A260AA" w:rsidRPr="00A260AA"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16"/>
        <w:szCs w:val="16"/>
      </w:rPr>
    </w:pPr>
    <w:r>
      <w:rPr>
        <w:rFonts w:ascii="Arial" w:hAnsi="Arial"/>
        <w:b/>
        <w:sz w:val="16"/>
        <w:szCs w:val="16"/>
      </w:rPr>
      <w:t>Uffizi per il svilup dal territori dal Grischun, versiun dals 30-01-2020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2"/>
    <w:lvlOverride w:ilvl="0">
      <w:startOverride w:val="5"/>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1057C0"/>
    <w:rsid w:val="00161C61"/>
    <w:rsid w:val="001B1F48"/>
    <w:rsid w:val="002000AB"/>
    <w:rsid w:val="00267E69"/>
    <w:rsid w:val="002C563A"/>
    <w:rsid w:val="00354755"/>
    <w:rsid w:val="003F2816"/>
    <w:rsid w:val="00487F0F"/>
    <w:rsid w:val="00490452"/>
    <w:rsid w:val="004F41B0"/>
    <w:rsid w:val="00534F3F"/>
    <w:rsid w:val="005450B5"/>
    <w:rsid w:val="0055695E"/>
    <w:rsid w:val="005C200E"/>
    <w:rsid w:val="00610C87"/>
    <w:rsid w:val="0065730C"/>
    <w:rsid w:val="00681B54"/>
    <w:rsid w:val="00683562"/>
    <w:rsid w:val="007659C2"/>
    <w:rsid w:val="00797350"/>
    <w:rsid w:val="009155AE"/>
    <w:rsid w:val="009B0A23"/>
    <w:rsid w:val="00A14DB6"/>
    <w:rsid w:val="00A260AA"/>
    <w:rsid w:val="00AB75E4"/>
    <w:rsid w:val="00AE78B8"/>
    <w:rsid w:val="00B05748"/>
    <w:rsid w:val="00B327D1"/>
    <w:rsid w:val="00B667F5"/>
    <w:rsid w:val="00BF4F38"/>
    <w:rsid w:val="00BF6C48"/>
    <w:rsid w:val="00C2743F"/>
    <w:rsid w:val="00C80476"/>
    <w:rsid w:val="00DB42F2"/>
    <w:rsid w:val="00E01761"/>
    <w:rsid w:val="00E649C3"/>
    <w:rsid w:val="00E751C9"/>
    <w:rsid w:val="00EA208C"/>
    <w:rsid w:val="00F54BD6"/>
    <w:rsid w:val="00FD59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rm-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885DB9F1-8905-4211-81B3-66DB8BB61DCD}"/>
</file>

<file path=customXml/itemProps2.xml><?xml version="1.0" encoding="utf-8"?>
<ds:datastoreItem xmlns:ds="http://schemas.openxmlformats.org/officeDocument/2006/customXml" ds:itemID="{949E95C5-73D3-4739-B358-1994DC848578}"/>
</file>

<file path=customXml/itemProps3.xml><?xml version="1.0" encoding="utf-8"?>
<ds:datastoreItem xmlns:ds="http://schemas.openxmlformats.org/officeDocument/2006/customXml" ds:itemID="{E1E4CF24-BC04-432F-BA05-A3B751D843C8}"/>
</file>

<file path=docProps/app.xml><?xml version="1.0" encoding="utf-8"?>
<Properties xmlns="http://schemas.openxmlformats.org/officeDocument/2006/extended-properties" xmlns:vt="http://schemas.openxmlformats.org/officeDocument/2006/docPropsVTypes">
  <Template>EDDCF87A.dotm</Template>
  <TotalTime>0</TotalTime>
  <Pages>2</Pages>
  <Words>341</Words>
  <Characters>2150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N/A</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d'audiziun a las persunas obligadas da pajar la taxa conc. il sboz da taxaziun (art. 35k al. 2 OPTGR) </dc:title>
  <dc:subject/>
  <dc:creator>Corina Caluori</dc:creator>
  <cp:keywords/>
  <dc:description/>
  <cp:lastModifiedBy>Fabian Huonder</cp:lastModifiedBy>
  <cp:revision>16</cp:revision>
  <dcterms:created xsi:type="dcterms:W3CDTF">2019-12-12T10:00:00Z</dcterms:created>
  <dcterms:modified xsi:type="dcterms:W3CDTF">2020-03-03T09:16:00Z</dcterms:modified>
  <cp:category>Taxa da plivalur (TP) – Calculaziun, imposiziun ed execuziun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