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EB" w:rsidRPr="000F02BC" w:rsidRDefault="00D77288" w:rsidP="000F02BC">
      <w:pPr>
        <w:pStyle w:val="berschrift1"/>
        <w:pBdr>
          <w:bottom w:val="none" w:sz="0" w:space="0" w:color="auto"/>
        </w:pBdr>
      </w:pPr>
      <w:r>
        <w:t xml:space="preserve">Esigibilità della tassa sul plusvalore a seguito di edificazione</w:t>
      </w:r>
    </w:p>
    <w:p w:rsidR="00D77288" w:rsidRPr="004D5CD4" w:rsidRDefault="00D77288" w:rsidP="00EA69FC">
      <w:pPr>
        <w:rPr>
          <w:rFonts w:ascii="Arial" w:hAnsi="Arial" w:cs="Arial"/>
        </w:rPr>
      </w:pPr>
      <w:r>
        <w:rPr>
          <w:rFonts w:ascii="Arial" w:hAnsi="Arial"/>
        </w:rPr>
        <w:t xml:space="preserve">La tassa diviene esigibile in caso di edificazione.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tassa diviene esigibile con il passaggio in giudicato della licenza edilizia (art. 19n cpv. 1 e 2 LPTC).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Il municipio fattura la tassa sul plusvalore esigibile nel quadro della licenza edilizia se il motivo di esigibilità è un'edificazione (art. 35m cpv. 1 OPTC).</w:t>
      </w:r>
    </w:p>
    <w:p w:rsidR="004D5CD4" w:rsidRDefault="004D5CD4" w:rsidP="004D5CD4">
      <w:pPr>
        <w:spacing w:before="480" w:after="360"/>
        <w:rPr>
          <w:b/>
          <w:sz w:val="28"/>
          <w:szCs w:val="28"/>
          <w:rFonts w:ascii="Arial" w:hAnsi="Arial" w:cs="Arial"/>
        </w:rPr>
      </w:pPr>
      <w:r>
        <w:rPr>
          <w:b/>
          <w:sz w:val="28"/>
          <w:szCs w:val="28"/>
          <w:rFonts w:ascii="Arial" w:hAnsi="Arial"/>
        </w:rPr>
        <w:t xml:space="preserve">Blocchi di testo per la decisione relativa alla licenza edilizia</w:t>
      </w:r>
      <w:r>
        <w:rPr>
          <w:b/>
          <w:sz w:val="28"/>
          <w:szCs w:val="28"/>
          <w:rFonts w:ascii="Arial" w:hAnsi="Arial"/>
        </w:rPr>
        <w:t xml:space="preserve"> </w:t>
      </w:r>
    </w:p>
    <w:p w:rsidR="00E72F4E" w:rsidRDefault="00E72F4E" w:rsidP="00D10FD5">
      <w:pPr>
        <w:spacing w:before="480" w:after="120"/>
        <w:rPr>
          <w:b/>
          <w:sz w:val="28"/>
          <w:szCs w:val="28"/>
          <w:rFonts w:ascii="Arial" w:hAnsi="Arial" w:cs="Arial"/>
        </w:rPr>
      </w:pPr>
      <w:r>
        <w:rPr>
          <w:b/>
          <w:sz w:val="28"/>
          <w:szCs w:val="28"/>
          <w:rFonts w:ascii="Arial" w:hAnsi="Arial"/>
        </w:rPr>
        <w:t xml:space="preserve">Variante 1</w:t>
      </w:r>
    </w:p>
    <w:p w:rsidR="00E72F4E" w:rsidRPr="00E72F4E" w:rsidRDefault="00E72F4E" w:rsidP="00D10FD5">
      <w:pPr>
        <w:spacing w:before="120" w:after="360"/>
        <w:rPr>
          <w:rFonts w:ascii="Arial" w:hAnsi="Arial" w:cs="Arial"/>
        </w:rPr>
      </w:pPr>
      <w:r>
        <w:rPr>
          <w:rFonts w:ascii="Arial" w:hAnsi="Arial"/>
        </w:rPr>
        <w:t xml:space="preserve">Se la persona assoggettata alla tassa corrisponde a chi ha chiesto la licenza edilizia, la tassa sul plusvalore può essere fatturata nella licenza edilizia utilizzando la seguente formulazione:</w:t>
      </w:r>
    </w:p>
    <w:p w:rsidR="00D77288" w:rsidRPr="004D5CD4" w:rsidRDefault="004D5CD4" w:rsidP="00D1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120"/>
        <w:rPr>
          <w:rFonts w:ascii="Arial" w:hAnsi="Arial" w:cs="Arial"/>
        </w:rPr>
      </w:pPr>
      <w:r>
        <w:rPr>
          <w:b/>
          <w:rFonts w:ascii="Arial" w:hAnsi="Arial"/>
        </w:rPr>
        <w:t xml:space="preserve">Tassa sul plusvalore</w:t>
      </w:r>
    </w:p>
    <w:p w:rsidR="00D77288" w:rsidRPr="004D5CD4" w:rsidRDefault="00D77288" w:rsidP="00EA6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/>
        </w:rPr>
        <w:t xml:space="preserve">Con il passaggio in giudicato della presente decisione relativa alla licenza edilizia, diviene esigibile la tassa sul plusvalore accertata e passata in giudicato con decisione del [</w:t>
      </w:r>
      <w:r>
        <w:rPr>
          <w:highlight w:val="lightGray"/>
          <w:rFonts w:ascii="Arial" w:hAnsi="Arial"/>
        </w:rPr>
        <w:t xml:space="preserve">…</w:t>
      </w:r>
      <w:r>
        <w:rPr>
          <w:rFonts w:ascii="Arial" w:hAnsi="Arial"/>
        </w:rPr>
        <w:t xml:space="preserve">] per vantaggi derivanti dalla pianificazione sul fondo n. [</w:t>
      </w:r>
      <w:r>
        <w:rPr>
          <w:highlight w:val="lightGray"/>
          <w:rFonts w:ascii="Arial" w:hAnsi="Arial"/>
        </w:rPr>
        <w:t xml:space="preserve">…</w:t>
      </w:r>
      <w:r>
        <w:rPr>
          <w:rFonts w:ascii="Arial" w:hAnsi="Arial"/>
        </w:rPr>
        <w:t xml:space="preserve">] per un importo di CHF [</w:t>
      </w:r>
      <w:r>
        <w:rPr>
          <w:highlight w:val="lightGray"/>
          <w:rFonts w:ascii="Arial" w:hAnsi="Arial"/>
        </w:rPr>
        <w:t xml:space="preserve">…</w:t>
      </w:r>
      <w:r>
        <w:rPr>
          <w:rFonts w:ascii="Arial" w:hAnsi="Arial"/>
        </w:rPr>
        <w:t xml:space="preserve">].</w:t>
      </w:r>
      <w:r>
        <w:rPr>
          <w:rFonts w:ascii="Arial" w:hAnsi="Arial"/>
        </w:rPr>
        <w:t xml:space="preserve"> </w:t>
      </w:r>
    </w:p>
    <w:p w:rsidR="003162DC" w:rsidRPr="003162DC" w:rsidRDefault="004D5CD4" w:rsidP="00EA6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/>
        </w:rPr>
        <w:t xml:space="preserve">La tassa deve essere versata entro 60 giorni dal passaggio in giudicato della presente decisione relativa alla licenza edilizia al Comune di [</w:t>
      </w:r>
      <w:r>
        <w:rPr>
          <w:highlight w:val="lightGray"/>
          <w:rFonts w:ascii="Arial" w:hAnsi="Arial"/>
        </w:rPr>
        <w:t xml:space="preserve">…</w:t>
      </w:r>
      <w:r>
        <w:rPr>
          <w:rFonts w:ascii="Arial" w:hAnsi="Arial"/>
        </w:rPr>
        <w:t xml:space="preserve">] a mezzo della polizza di versamento allegata.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Secondo l'art. 35m cpv. 2 OPTC in caso di pagamenti ritardati sono dovuti interessi di mora pari agli interessi di mora cantonali in vigore, attualmente pari al [</w:t>
      </w:r>
      <w:r>
        <w:rPr>
          <w:highlight w:val="lightGray"/>
          <w:rFonts w:ascii="Arial" w:hAnsi="Arial"/>
        </w:rPr>
        <w:t xml:space="preserve">…</w:t>
      </w:r>
      <w:r>
        <w:rPr>
          <w:rFonts w:ascii="Arial" w:hAnsi="Arial"/>
        </w:rPr>
        <w:t xml:space="preserve">]%.</w:t>
      </w:r>
    </w:p>
    <w:p w:rsidR="003162DC" w:rsidRPr="003162DC" w:rsidRDefault="003162DC" w:rsidP="00EA6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/>
        </w:rPr>
        <w:t xml:space="preserve">Dopo aver ricevuto il pagamento il Comune predispone d'ufficio la cancellazione delle menzioni a registro fondiario secondo l'art. 19w cpv. 2 n. 6 LPTC riguardo all'obbligo di versare la tassa sul plusvalore e secondo l'art. 19w cpv. 3 LPTC riguardo al diritto di pegno legale sul fondo n. [</w:t>
      </w:r>
      <w:r>
        <w:rPr>
          <w:highlight w:val="lightGray"/>
          <w:rFonts w:ascii="Arial" w:hAnsi="Arial"/>
        </w:rPr>
        <w:t xml:space="preserve">…</w:t>
      </w:r>
      <w:r>
        <w:rPr>
          <w:rFonts w:ascii="Arial" w:hAnsi="Arial"/>
        </w:rPr>
        <w:t xml:space="preserve">], piano [</w:t>
      </w:r>
      <w:r>
        <w:rPr>
          <w:highlight w:val="lightGray"/>
          <w:rFonts w:ascii="Arial" w:hAnsi="Arial"/>
        </w:rPr>
        <w:t xml:space="preserve">…</w:t>
      </w:r>
      <w:r>
        <w:rPr>
          <w:rFonts w:ascii="Arial" w:hAnsi="Arial"/>
        </w:rPr>
        <w:t xml:space="preserve">], Comune di [</w:t>
      </w:r>
      <w:r>
        <w:rPr>
          <w:highlight w:val="lightGray"/>
          <w:rFonts w:ascii="Arial" w:hAnsi="Arial"/>
        </w:rPr>
        <w:t xml:space="preserve">…</w:t>
      </w:r>
      <w:r>
        <w:rPr>
          <w:rFonts w:ascii="Arial" w:hAnsi="Arial"/>
        </w:rPr>
        <w:t xml:space="preserve">].</w:t>
      </w:r>
    </w:p>
    <w:p w:rsidR="00377A37" w:rsidRDefault="005175D0" w:rsidP="00EA6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/>
        </w:rPr>
        <w:t xml:space="preserve">La decisione edilizia viene comunicata all'Ufficio per lo sviluppo del territorio ai sensi dell'art. 35l cpv. 2 OPTC.</w:t>
      </w:r>
    </w:p>
    <w:p w:rsidR="00F6560F" w:rsidRDefault="00F6560F" w:rsidP="00D77288">
      <w:pPr>
        <w:rPr>
          <w:rFonts w:ascii="Arial" w:hAnsi="Arial" w:cs="Arial"/>
        </w:rPr>
      </w:pPr>
    </w:p>
    <w:p w:rsidR="00F6560F" w:rsidRDefault="00F6560F" w:rsidP="00D77288">
      <w:pPr>
        <w:rPr>
          <w:rFonts w:ascii="Arial" w:hAnsi="Arial" w:cs="Arial"/>
        </w:rPr>
      </w:pPr>
    </w:p>
    <w:p w:rsidR="00EA69FC" w:rsidRDefault="00EA69FC">
      <w:pPr>
        <w:spacing w:after="0" w:line="240" w:lineRule="auto"/>
        <w:rPr>
          <w:b/>
          <w:sz w:val="28"/>
          <w:szCs w:val="28"/>
          <w:rFonts w:ascii="Arial" w:hAnsi="Arial" w:cs="Arial"/>
        </w:rPr>
      </w:pPr>
      <w:r>
        <w:br w:type="page"/>
      </w:r>
    </w:p>
    <w:p w:rsidR="00E72F4E" w:rsidRDefault="00E72F4E" w:rsidP="00D10FD5">
      <w:pPr>
        <w:spacing w:before="480" w:after="120"/>
        <w:rPr>
          <w:b/>
          <w:sz w:val="28"/>
          <w:szCs w:val="28"/>
          <w:rFonts w:ascii="Arial" w:hAnsi="Arial" w:cs="Arial"/>
        </w:rPr>
      </w:pPr>
      <w:r>
        <w:rPr>
          <w:b/>
          <w:sz w:val="28"/>
          <w:szCs w:val="28"/>
          <w:rFonts w:ascii="Arial" w:hAnsi="Arial"/>
        </w:rPr>
        <w:t xml:space="preserve">Variante 2</w:t>
      </w:r>
    </w:p>
    <w:p w:rsidR="00377A37" w:rsidRDefault="00E72F4E" w:rsidP="00D77288">
      <w:pPr>
        <w:rPr>
          <w:rFonts w:ascii="Arial" w:hAnsi="Arial" w:cs="Arial"/>
        </w:rPr>
      </w:pPr>
      <w:r>
        <w:rPr>
          <w:rFonts w:ascii="Arial" w:hAnsi="Arial"/>
        </w:rPr>
        <w:t xml:space="preserve">Se la persona assoggettata alla tassa non corrisponde a chi ha chiesto la licenza edilizia, occorre aggiungere il seguente passaggio nella licenza edilizia.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Alla persona assoggettata alla tassa deve essere inviata una copia della licenza edilizia.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Allo stesso tempo, nel quadro del diritto di essere sentita le deve essere concessa la possibilità di prendere posizione in merito all'imminente esigibilità della tassa sul plusvalore.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In questo caso la tassa sul plusvalore deve essere fatturata mediante una decisione (vedi la relativa guida d'applicazione).</w:t>
      </w:r>
    </w:p>
    <w:p w:rsidR="00E72F4E" w:rsidRPr="004D5CD4" w:rsidRDefault="00E72F4E" w:rsidP="00D1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120"/>
        <w:rPr>
          <w:rFonts w:ascii="Arial" w:hAnsi="Arial" w:cs="Arial"/>
        </w:rPr>
      </w:pPr>
      <w:r>
        <w:rPr>
          <w:b/>
          <w:rFonts w:ascii="Arial" w:hAnsi="Arial"/>
        </w:rPr>
        <w:t xml:space="preserve">Tassa sul plusvalore</w:t>
      </w:r>
    </w:p>
    <w:p w:rsidR="00E72F4E" w:rsidRPr="004D5CD4" w:rsidRDefault="00E72F4E" w:rsidP="00EA6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/>
        </w:rPr>
        <w:t xml:space="preserve">Con il passaggio in giudicato della presente decisione relativa alla licenza edilizia, diviene esigibile la tassa sul plusvalore accertata e passata in giudicato con decisione del [</w:t>
      </w:r>
      <w:r>
        <w:rPr>
          <w:highlight w:val="lightGray"/>
          <w:rFonts w:ascii="Arial" w:hAnsi="Arial"/>
        </w:rPr>
        <w:t xml:space="preserve">…</w:t>
      </w:r>
      <w:r>
        <w:rPr>
          <w:rFonts w:ascii="Arial" w:hAnsi="Arial"/>
        </w:rPr>
        <w:t xml:space="preserve">] per vantaggi derivanti dalla pianificazione sul fondo n. [</w:t>
      </w:r>
      <w:r>
        <w:rPr>
          <w:highlight w:val="lightGray"/>
          <w:rFonts w:ascii="Arial" w:hAnsi="Arial"/>
        </w:rPr>
        <w:t xml:space="preserve">…</w:t>
      </w:r>
      <w:r>
        <w:rPr>
          <w:rFonts w:ascii="Arial" w:hAnsi="Arial"/>
        </w:rPr>
        <w:t xml:space="preserve">] per un importo di CHF [</w:t>
      </w:r>
      <w:r>
        <w:rPr>
          <w:highlight w:val="lightGray"/>
          <w:rFonts w:ascii="Arial" w:hAnsi="Arial"/>
        </w:rPr>
        <w:t xml:space="preserve">…</w:t>
      </w:r>
      <w:r>
        <w:rPr>
          <w:rFonts w:ascii="Arial" w:hAnsi="Arial"/>
        </w:rPr>
        <w:t xml:space="preserve">].</w:t>
      </w:r>
      <w:r>
        <w:rPr>
          <w:rFonts w:ascii="Arial" w:hAnsi="Arial"/>
        </w:rPr>
        <w:t xml:space="preserve"> </w:t>
      </w:r>
    </w:p>
    <w:p w:rsidR="00E72F4E" w:rsidRDefault="00E72F4E" w:rsidP="00EA6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/>
        </w:rPr>
        <w:t xml:space="preserve">La tassa sul plusvalore viene fatturata alle persone assoggettate mediante una decisione di fatturazione separata.</w:t>
      </w:r>
    </w:p>
    <w:p w:rsidR="00E72F4E" w:rsidRDefault="00340C8D" w:rsidP="00EA6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/>
        </w:rPr>
        <w:t xml:space="preserve">La decisione edilizia viene comunicata all'Ufficio per lo sviluppo del territorio ai sensi dell'art. 35l cpv. 2 OPTC.</w:t>
      </w:r>
    </w:p>
    <w:p w:rsidR="005B6EF4" w:rsidRDefault="005B6EF4" w:rsidP="005B6EF4">
      <w:pPr>
        <w:spacing w:after="0" w:line="312" w:lineRule="auto"/>
        <w:rPr>
          <w:rFonts w:ascii="Arial" w:hAnsi="Arial" w:cs="Arial"/>
        </w:rPr>
      </w:pPr>
    </w:p>
    <w:p w:rsidR="000F02BC" w:rsidRDefault="000F02BC" w:rsidP="005B6EF4">
      <w:pPr>
        <w:spacing w:after="0" w:line="312" w:lineRule="auto"/>
        <w:rPr>
          <w:rFonts w:ascii="Arial" w:hAnsi="Arial" w:cs="Arial"/>
        </w:rPr>
      </w:pPr>
    </w:p>
    <w:p w:rsidR="000F02BC" w:rsidRPr="009315FC" w:rsidRDefault="000F02BC" w:rsidP="005B6EF4">
      <w:pPr>
        <w:spacing w:after="0" w:line="312" w:lineRule="auto"/>
        <w:rPr>
          <w:rFonts w:ascii="Arial" w:hAnsi="Arial" w:cs="Arial"/>
        </w:rPr>
      </w:pPr>
    </w:p>
    <w:p w:rsidR="00E72F4E" w:rsidRPr="007209E1" w:rsidRDefault="007209E1" w:rsidP="0072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rPr>
          <w:rFonts w:ascii="Arial" w:hAnsi="Arial" w:cs="Arial"/>
        </w:rPr>
      </w:pPr>
      <w:r>
        <w:rPr>
          <w:u w:val="single"/>
          <w:rFonts w:ascii="Arial" w:hAnsi="Arial"/>
        </w:rPr>
        <w:t xml:space="preserve">Indicazione d'uso: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questo modello rappresenta uno strumento ausiliario del Cantone.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Le formulazioni contenute in questo modello hanno mero carattere di proposta.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 passaggi di testo che devono essere integrati o precisati da parte del Comune vengono resi individuabili con i segnaposto messi tra parentesi quadre […] e si trovano su sfondo grigio.</w:t>
      </w:r>
    </w:p>
    <w:p w:rsidR="00F2420F" w:rsidRPr="009315FC" w:rsidRDefault="00D10FD5" w:rsidP="00B61298">
      <w:pPr>
        <w:spacing w:after="0" w:line="240" w:lineRule="auto"/>
        <w:rPr>
          <w:rFonts w:ascii="Arial" w:hAnsi="Arial" w:cs="Arial"/>
        </w:rPr>
      </w:pPr>
    </w:p>
    <w:sectPr w:rsidR="00F2420F" w:rsidRPr="009315FC" w:rsidSect="00D72FEB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B54" w:rsidRDefault="00681B54" w:rsidP="00681B54">
      <w:pPr>
        <w:spacing w:after="0" w:line="240" w:lineRule="auto"/>
      </w:pPr>
      <w:r>
        <w:separator/>
      </w:r>
    </w:p>
  </w:endnote>
  <w:endnote w:type="continuationSeparator" w:id="0">
    <w:p w:rsidR="00681B54" w:rsidRDefault="00681B54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B54" w:rsidRDefault="00681B54" w:rsidP="00681B54">
      <w:pPr>
        <w:spacing w:after="0" w:line="240" w:lineRule="auto"/>
      </w:pPr>
      <w:r>
        <w:separator/>
      </w:r>
    </w:p>
  </w:footnote>
  <w:footnote w:type="continuationSeparator" w:id="0">
    <w:p w:rsidR="00681B54" w:rsidRDefault="00681B54" w:rsidP="0068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1078917"/>
      <w:docPartObj>
        <w:docPartGallery w:val="Page Numbers (Top of Page)"/>
        <w:docPartUnique/>
      </w:docPartObj>
    </w:sdtPr>
    <w:sdtEndPr/>
    <w:sdtContent>
      <w:p w:rsidR="00681B54" w:rsidRPr="00D72FEB" w:rsidRDefault="00D72FEB" w:rsidP="00D72FEB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FD5" w:rsidRPr="00D10FD5"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EB" w:rsidRPr="00D10FD5" w:rsidRDefault="00D72FEB" w:rsidP="00D72FE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b/>
        <w:sz w:val="24"/>
        <w:szCs w:val="16"/>
        <w:rFonts w:ascii="Arial" w:eastAsia="Calibri" w:hAnsi="Arial" w:cs="Arial"/>
      </w:rPr>
    </w:pPr>
    <w:r>
      <w:rPr>
        <w:b/>
        <w:sz w:val="24"/>
        <w:szCs w:val="16"/>
        <w:rFonts w:ascii="Arial" w:hAnsi="Arial"/>
      </w:rPr>
      <w:t xml:space="preserve">Guida d'applicazione M7</w:t>
    </w:r>
  </w:p>
  <w:p w:rsidR="00D10FD5" w:rsidRPr="00D10FD5" w:rsidRDefault="00D10FD5" w:rsidP="00D72FE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b/>
        <w:sz w:val="16"/>
        <w:szCs w:val="16"/>
        <w:rFonts w:ascii="Arial" w:eastAsia="Calibri" w:hAnsi="Arial" w:cs="Arial"/>
      </w:rPr>
    </w:pPr>
    <w:r>
      <w:rPr>
        <w:sz w:val="16"/>
        <w:szCs w:val="16"/>
        <w:rFonts w:ascii="Arial" w:hAnsi="Arial"/>
      </w:rPr>
      <w:t xml:space="preserve">Ufficio per lo sviluppo del territorio dei Grigioni, versione stato 30.01.2020</w:t>
    </w:r>
  </w:p>
  <w:p w:rsidR="00D72FEB" w:rsidRDefault="00D72F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5B6399"/>
    <w:multiLevelType w:val="multilevel"/>
    <w:tmpl w:val="830CFDC4"/>
    <w:lvl w:ilvl="0">
      <w:start w:val="1"/>
      <w:numFmt w:val="decimal"/>
      <w:pStyle w:val="Haupttext2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1D0703"/>
    <w:multiLevelType w:val="hybridMultilevel"/>
    <w:tmpl w:val="3C12FC8E"/>
    <w:lvl w:ilvl="0" w:tplc="C6C05C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561A9E"/>
    <w:multiLevelType w:val="hybridMultilevel"/>
    <w:tmpl w:val="FB4C2392"/>
    <w:lvl w:ilvl="0" w:tplc="1CE27A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3"/>
    <w:lvlOverride w:ilvl="0">
      <w:startOverride w:val="5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4"/>
    <w:rsid w:val="00031DBD"/>
    <w:rsid w:val="00074253"/>
    <w:rsid w:val="000F02BC"/>
    <w:rsid w:val="000F780C"/>
    <w:rsid w:val="001037B2"/>
    <w:rsid w:val="00140A90"/>
    <w:rsid w:val="001500CF"/>
    <w:rsid w:val="00161C61"/>
    <w:rsid w:val="00166BB3"/>
    <w:rsid w:val="00267E69"/>
    <w:rsid w:val="002C1B58"/>
    <w:rsid w:val="002C563A"/>
    <w:rsid w:val="002E6DDC"/>
    <w:rsid w:val="00302AC4"/>
    <w:rsid w:val="003162DC"/>
    <w:rsid w:val="00340C8D"/>
    <w:rsid w:val="00377A37"/>
    <w:rsid w:val="00391113"/>
    <w:rsid w:val="003965EC"/>
    <w:rsid w:val="003D745C"/>
    <w:rsid w:val="004D5CD4"/>
    <w:rsid w:val="004F41B0"/>
    <w:rsid w:val="005175D0"/>
    <w:rsid w:val="00534F3F"/>
    <w:rsid w:val="00547B30"/>
    <w:rsid w:val="005864CD"/>
    <w:rsid w:val="005B6EF4"/>
    <w:rsid w:val="005F3113"/>
    <w:rsid w:val="00681B54"/>
    <w:rsid w:val="0070500E"/>
    <w:rsid w:val="007209E1"/>
    <w:rsid w:val="00795230"/>
    <w:rsid w:val="00803250"/>
    <w:rsid w:val="00835CEC"/>
    <w:rsid w:val="0084637E"/>
    <w:rsid w:val="008860FD"/>
    <w:rsid w:val="008E454C"/>
    <w:rsid w:val="00912964"/>
    <w:rsid w:val="009315FC"/>
    <w:rsid w:val="009A0E83"/>
    <w:rsid w:val="009B0A23"/>
    <w:rsid w:val="00A03543"/>
    <w:rsid w:val="00A14DB6"/>
    <w:rsid w:val="00A96ACF"/>
    <w:rsid w:val="00B61298"/>
    <w:rsid w:val="00BC6EE4"/>
    <w:rsid w:val="00C226B2"/>
    <w:rsid w:val="00C50533"/>
    <w:rsid w:val="00C77D7F"/>
    <w:rsid w:val="00CB53E2"/>
    <w:rsid w:val="00CD1CEB"/>
    <w:rsid w:val="00D10FD5"/>
    <w:rsid w:val="00D43E7D"/>
    <w:rsid w:val="00D72FEB"/>
    <w:rsid w:val="00D77288"/>
    <w:rsid w:val="00D84497"/>
    <w:rsid w:val="00DE405E"/>
    <w:rsid w:val="00E72F4E"/>
    <w:rsid w:val="00E90DFA"/>
    <w:rsid w:val="00EA69FC"/>
    <w:rsid w:val="00ED71A9"/>
    <w:rsid w:val="00EE602C"/>
    <w:rsid w:val="00F6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9331FCC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Theme="minorHAnsi" w:hAnsi="CG Times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0F02BC"/>
    <w:pPr>
      <w:pBdr>
        <w:bottom w:val="single" w:sz="4" w:space="1" w:color="auto"/>
      </w:pBdr>
      <w:spacing w:before="840" w:after="600" w:line="312" w:lineRule="auto"/>
      <w:outlineLvl w:val="0"/>
    </w:pPr>
    <w:rPr>
      <w:rFonts w:ascii="Arial" w:hAnsi="Arial" w:cs="Arial"/>
      <w:b/>
      <w:sz w:val="36"/>
      <w:szCs w:val="36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0F02BC"/>
    <w:pPr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405E"/>
    <w:pPr>
      <w:spacing w:before="480" w:after="360" w:line="312" w:lineRule="auto"/>
      <w:outlineLvl w:val="2"/>
    </w:pPr>
    <w:rPr>
      <w:rFonts w:ascii="Arial" w:hAnsi="Arial" w:cs="Arial"/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B54"/>
  </w:style>
  <w:style w:type="paragraph" w:styleId="Fuzeile">
    <w:name w:val="footer"/>
    <w:basedOn w:val="Funotentext"/>
    <w:link w:val="FuzeileZchn"/>
    <w:unhideWhenUsed/>
    <w:rsid w:val="00D72FEB"/>
    <w:pPr>
      <w:spacing w:after="120"/>
    </w:pPr>
    <w:rPr>
      <w:rFonts w:ascii="Arial" w:hAnsi="Arial" w:cs="Arial"/>
      <w:sz w:val="18"/>
    </w:rPr>
  </w:style>
  <w:style w:type="character" w:customStyle="1" w:styleId="FuzeileZchn">
    <w:name w:val="Fußzeile Zchn"/>
    <w:basedOn w:val="Absatz-Standardschriftart"/>
    <w:link w:val="Fuzeile"/>
    <w:rsid w:val="00D72FEB"/>
    <w:rPr>
      <w:rFonts w:ascii="Arial" w:hAnsi="Arial" w:cs="Arial"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F02BC"/>
    <w:rPr>
      <w:rFonts w:ascii="Arial" w:hAnsi="Arial" w:cs="Arial"/>
      <w:b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0F02BC"/>
    <w:rPr>
      <w:rFonts w:ascii="Arial" w:hAnsi="Arial" w:cs="Arial"/>
      <w:b/>
      <w:sz w:val="32"/>
      <w:szCs w:val="32"/>
    </w:rPr>
  </w:style>
  <w:style w:type="paragraph" w:styleId="Listenabsatz">
    <w:name w:val="List Paragraph"/>
    <w:basedOn w:val="Standard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Standard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1B54"/>
    <w:rPr>
      <w:rFonts w:asciiTheme="minorHAnsi" w:hAnsiTheme="minorHAnsi" w:cstheme="min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681B54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Absatz-Standardschriftart"/>
    <w:rsid w:val="00A14DB6"/>
  </w:style>
  <w:style w:type="character" w:customStyle="1" w:styleId="number">
    <w:name w:val="number"/>
    <w:basedOn w:val="Absatz-Standardschriftart"/>
    <w:rsid w:val="00A14DB6"/>
  </w:style>
  <w:style w:type="character" w:customStyle="1" w:styleId="titletext">
    <w:name w:val="title_text"/>
    <w:basedOn w:val="Absatz-Standardschriftart"/>
    <w:rsid w:val="00A14DB6"/>
  </w:style>
  <w:style w:type="character" w:customStyle="1" w:styleId="textcontent">
    <w:name w:val="text_content"/>
    <w:basedOn w:val="Absatz-Standardschriftart"/>
    <w:rsid w:val="00A14DB6"/>
  </w:style>
  <w:style w:type="table" w:styleId="Tabellenraster">
    <w:name w:val="Table Grid"/>
    <w:basedOn w:val="NormaleTabelle"/>
    <w:uiPriority w:val="39"/>
    <w:rsid w:val="00074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0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0E83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72FE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2FEB"/>
    <w:rPr>
      <w:rFonts w:asciiTheme="minorHAnsi" w:hAnsiTheme="minorHAnsi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D72FEB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405E"/>
    <w:rPr>
      <w:rFonts w:ascii="Arial" w:hAnsi="Arial" w:cs="Arial"/>
      <w:b/>
      <w:sz w:val="28"/>
      <w:szCs w:val="28"/>
    </w:rPr>
  </w:style>
  <w:style w:type="paragraph" w:customStyle="1" w:styleId="Haupttext2">
    <w:name w:val="Haupttext 2"/>
    <w:basedOn w:val="Listenabsatz"/>
    <w:autoRedefine/>
    <w:qFormat/>
    <w:rsid w:val="003162DC"/>
    <w:pPr>
      <w:numPr>
        <w:numId w:val="6"/>
      </w:numPr>
      <w:spacing w:after="240" w:line="312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 xsi:nil="true"/>
    <ARENavigation xmlns="2d999939-2a46-46d1-8935-28b39244f330">Vollzugshilfen BLM / MWA</ARENavigation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E8CEE0-EFF9-40BD-8BF2-D61BB1D8FD17}"/>
</file>

<file path=customXml/itemProps2.xml><?xml version="1.0" encoding="utf-8"?>
<ds:datastoreItem xmlns:ds="http://schemas.openxmlformats.org/officeDocument/2006/customXml" ds:itemID="{81DE20FB-D92B-44FB-A2A5-634F58C630BE}"/>
</file>

<file path=customXml/itemProps3.xml><?xml version="1.0" encoding="utf-8"?>
<ds:datastoreItem xmlns:ds="http://schemas.openxmlformats.org/officeDocument/2006/customXml" ds:itemID="{665C0607-9AC5-4296-8447-952437F3ECEB}"/>
</file>

<file path=docProps/app.xml><?xml version="1.0" encoding="utf-8"?>
<Properties xmlns="http://schemas.openxmlformats.org/officeDocument/2006/extended-properties" xmlns:vt="http://schemas.openxmlformats.org/officeDocument/2006/docPropsVTypes">
  <Template>E64E288.dotm</Template>
  <TotalTime>0</TotalTime>
  <Pages>2</Pages>
  <Words>377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Blocchi di testo per la licenza edilizia (art. 19n LPTC, art. 35m cpv. 1 OPTC)</dc:title>
  <dc:subject/>
  <dc:creator>Corina Caluori</dc:creator>
  <cp:keywords/>
  <dc:description/>
  <cp:lastModifiedBy>Broder Toni</cp:lastModifiedBy>
  <cp:revision>21</cp:revision>
  <cp:lastPrinted>2019-12-12T15:09:00Z</cp:lastPrinted>
  <dcterms:created xsi:type="dcterms:W3CDTF">2019-12-12T09:39:00Z</dcterms:created>
  <dcterms:modified xsi:type="dcterms:W3CDTF">2020-01-30T18:42:00Z</dcterms:modified>
  <cp:category>Tassa sul plusvalore (TPV) – calcolo, accertamento ed esecuzione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