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18FD" w14:textId="77777777" w:rsidR="00711156" w:rsidRPr="003611BA" w:rsidRDefault="00711156" w:rsidP="004802A5">
      <w:pPr>
        <w:pStyle w:val="berschrift1"/>
        <w:rPr>
          <w:lang w:val="it-IT"/>
        </w:rPr>
      </w:pPr>
      <w:r w:rsidRPr="003611BA">
        <w:rPr>
          <w:lang w:val="it-IT"/>
        </w:rPr>
        <w:t>ACCORDO</w:t>
      </w:r>
      <w:bookmarkStart w:id="0" w:name="_GoBack"/>
      <w:bookmarkEnd w:id="0"/>
    </w:p>
    <w:p w14:paraId="07C49AD9" w14:textId="77777777" w:rsidR="00711156" w:rsidRPr="003611BA" w:rsidRDefault="00CB3C2E" w:rsidP="00B96B86">
      <w:pPr>
        <w:pStyle w:val="berschrift2"/>
        <w:rPr>
          <w:lang w:val="it-IT"/>
        </w:rPr>
      </w:pPr>
      <w:r w:rsidRPr="003611BA">
        <w:rPr>
          <w:lang w:val="it-IT"/>
        </w:rPr>
        <w:t>Tassa sul plusvalore per vantaggi derivanti dalla pianificazione</w:t>
      </w:r>
      <w:r w:rsidRPr="003611BA">
        <w:rPr>
          <w:rStyle w:val="Funotenzeichen"/>
          <w:lang w:val="it-IT"/>
        </w:rPr>
        <w:footnoteReference w:id="1"/>
      </w:r>
    </w:p>
    <w:p w14:paraId="1C7530E7" w14:textId="77777777" w:rsidR="004802A5" w:rsidRPr="003611BA" w:rsidRDefault="004802A5" w:rsidP="00711156">
      <w:pPr>
        <w:rPr>
          <w:lang w:val="it-IT"/>
        </w:rPr>
      </w:pPr>
    </w:p>
    <w:p w14:paraId="56E1DEFD" w14:textId="77777777" w:rsidR="00586CCB" w:rsidRPr="003611BA" w:rsidRDefault="00586CCB" w:rsidP="004802A5">
      <w:pPr>
        <w:jc w:val="left"/>
        <w:rPr>
          <w:lang w:val="it-IT"/>
        </w:rPr>
      </w:pPr>
      <w:r w:rsidRPr="003611BA">
        <w:rPr>
          <w:lang w:val="it-IT"/>
        </w:rPr>
        <w:t>stipulato tra</w:t>
      </w:r>
    </w:p>
    <w:p w14:paraId="32347E48" w14:textId="77777777" w:rsidR="004802A5" w:rsidRPr="003611BA" w:rsidRDefault="004802A5" w:rsidP="004802A5">
      <w:pPr>
        <w:jc w:val="left"/>
        <w:rPr>
          <w:lang w:val="it-IT"/>
        </w:rPr>
      </w:pPr>
    </w:p>
    <w:p w14:paraId="22DD58FD" w14:textId="77777777" w:rsidR="004802A5" w:rsidRPr="003611BA" w:rsidRDefault="00586CCB" w:rsidP="004802A5">
      <w:pPr>
        <w:jc w:val="left"/>
        <w:rPr>
          <w:b/>
          <w:sz w:val="24"/>
          <w:szCs w:val="24"/>
          <w:lang w:val="it-IT"/>
        </w:rPr>
      </w:pPr>
      <w:r w:rsidRPr="003611BA">
        <w:rPr>
          <w:sz w:val="24"/>
          <w:lang w:val="it-IT"/>
        </w:rPr>
        <w:t>il</w:t>
      </w:r>
      <w:r w:rsidRPr="003611BA">
        <w:rPr>
          <w:b/>
          <w:sz w:val="24"/>
          <w:lang w:val="it-IT"/>
        </w:rPr>
        <w:t xml:space="preserve"> Comune politico di [</w:t>
      </w:r>
      <w:r w:rsidRPr="003611BA">
        <w:rPr>
          <w:b/>
          <w:sz w:val="24"/>
          <w:highlight w:val="lightGray"/>
          <w:lang w:val="it-IT"/>
        </w:rPr>
        <w:t>…</w:t>
      </w:r>
      <w:r w:rsidRPr="003611BA">
        <w:rPr>
          <w:b/>
          <w:sz w:val="24"/>
          <w:lang w:val="it-IT"/>
        </w:rPr>
        <w:t>]</w:t>
      </w:r>
      <w:r w:rsidRPr="003611BA">
        <w:rPr>
          <w:sz w:val="24"/>
          <w:lang w:val="it-IT"/>
        </w:rPr>
        <w:t>, [</w:t>
      </w:r>
      <w:r w:rsidRPr="003611BA">
        <w:rPr>
          <w:sz w:val="24"/>
          <w:highlight w:val="lightGray"/>
          <w:lang w:val="it-IT"/>
        </w:rPr>
        <w:t>indirizzo</w:t>
      </w:r>
      <w:r w:rsidRPr="003611BA">
        <w:rPr>
          <w:sz w:val="24"/>
          <w:lang w:val="it-IT"/>
        </w:rPr>
        <w:t>], rappresentato in modo giuridicamente valido dal Municipio</w:t>
      </w:r>
      <w:r w:rsidRPr="003611BA">
        <w:rPr>
          <w:b/>
          <w:sz w:val="24"/>
          <w:lang w:val="it-IT"/>
        </w:rPr>
        <w:t xml:space="preserve"> </w:t>
      </w:r>
    </w:p>
    <w:p w14:paraId="20ABAAAB" w14:textId="77777777" w:rsidR="00586CCB" w:rsidRPr="003611BA" w:rsidRDefault="00586CCB" w:rsidP="00B96B86">
      <w:pPr>
        <w:jc w:val="right"/>
        <w:rPr>
          <w:b/>
          <w:sz w:val="24"/>
          <w:szCs w:val="24"/>
          <w:lang w:val="it-IT"/>
        </w:rPr>
      </w:pPr>
      <w:r w:rsidRPr="003611BA">
        <w:rPr>
          <w:b/>
          <w:sz w:val="24"/>
          <w:lang w:val="it-IT"/>
        </w:rPr>
        <w:t>Comune</w:t>
      </w:r>
    </w:p>
    <w:p w14:paraId="74BF23E8" w14:textId="77777777" w:rsidR="00586CCB" w:rsidRPr="003611BA" w:rsidRDefault="004802A5" w:rsidP="004802A5">
      <w:pPr>
        <w:jc w:val="left"/>
        <w:rPr>
          <w:lang w:val="it-IT"/>
        </w:rPr>
      </w:pPr>
      <w:r w:rsidRPr="003611BA">
        <w:rPr>
          <w:lang w:val="it-IT"/>
        </w:rPr>
        <w:t>e</w:t>
      </w:r>
    </w:p>
    <w:p w14:paraId="63D1678D" w14:textId="77777777" w:rsidR="004802A5" w:rsidRPr="003611BA" w:rsidRDefault="004802A5" w:rsidP="004802A5">
      <w:pPr>
        <w:jc w:val="left"/>
        <w:rPr>
          <w:lang w:val="it-IT"/>
        </w:rPr>
      </w:pPr>
    </w:p>
    <w:p w14:paraId="737E7831" w14:textId="77777777" w:rsidR="00586CCB" w:rsidRPr="003611BA" w:rsidRDefault="004802A5" w:rsidP="004802A5">
      <w:pPr>
        <w:jc w:val="left"/>
        <w:rPr>
          <w:sz w:val="24"/>
          <w:szCs w:val="24"/>
          <w:lang w:val="it-IT"/>
        </w:rPr>
      </w:pPr>
      <w:r w:rsidRPr="003611BA">
        <w:rPr>
          <w:b/>
          <w:sz w:val="24"/>
          <w:lang w:val="it-IT"/>
        </w:rPr>
        <w:lastRenderedPageBreak/>
        <w:t xml:space="preserve">X </w:t>
      </w:r>
      <w:r w:rsidRPr="003611BA">
        <w:rPr>
          <w:sz w:val="24"/>
          <w:lang w:val="it-IT"/>
        </w:rPr>
        <w:t>[proprietario], [</w:t>
      </w:r>
      <w:r w:rsidRPr="003611BA">
        <w:rPr>
          <w:sz w:val="24"/>
          <w:highlight w:val="lightGray"/>
          <w:lang w:val="it-IT"/>
        </w:rPr>
        <w:t>indirizzo</w:t>
      </w:r>
      <w:r w:rsidRPr="003611BA">
        <w:rPr>
          <w:sz w:val="24"/>
          <w:lang w:val="it-IT"/>
        </w:rPr>
        <w:t>]</w:t>
      </w:r>
    </w:p>
    <w:p w14:paraId="55D5E630" w14:textId="77777777" w:rsidR="00586CCB" w:rsidRPr="003611BA" w:rsidRDefault="004802A5" w:rsidP="004802A5">
      <w:pPr>
        <w:jc w:val="right"/>
        <w:rPr>
          <w:b/>
          <w:sz w:val="24"/>
          <w:szCs w:val="24"/>
          <w:lang w:val="it-IT"/>
        </w:rPr>
      </w:pPr>
      <w:r w:rsidRPr="003611BA">
        <w:rPr>
          <w:b/>
          <w:sz w:val="24"/>
          <w:lang w:val="it-IT"/>
        </w:rPr>
        <w:t xml:space="preserve">proprietario </w:t>
      </w:r>
    </w:p>
    <w:p w14:paraId="09EC98FB" w14:textId="77777777" w:rsidR="00586CCB" w:rsidRPr="003611BA" w:rsidRDefault="00586CCB" w:rsidP="00AE2554">
      <w:pPr>
        <w:jc w:val="both"/>
        <w:rPr>
          <w:lang w:val="it-IT"/>
        </w:rPr>
      </w:pPr>
    </w:p>
    <w:p w14:paraId="54B58AFB" w14:textId="77777777" w:rsidR="004802A5" w:rsidRPr="003611BA" w:rsidRDefault="004802A5" w:rsidP="004802A5">
      <w:pPr>
        <w:jc w:val="left"/>
        <w:rPr>
          <w:lang w:val="it-IT"/>
        </w:rPr>
      </w:pPr>
      <w:r w:rsidRPr="003611BA">
        <w:rPr>
          <w:lang w:val="it-IT"/>
        </w:rPr>
        <w:t>concernente</w:t>
      </w:r>
    </w:p>
    <w:p w14:paraId="53A1A90E" w14:textId="77777777" w:rsidR="004802A5" w:rsidRPr="003611BA" w:rsidRDefault="004802A5" w:rsidP="004802A5">
      <w:pPr>
        <w:jc w:val="left"/>
        <w:rPr>
          <w:lang w:val="it-IT"/>
        </w:rPr>
      </w:pPr>
    </w:p>
    <w:p w14:paraId="7BDF712C" w14:textId="77777777" w:rsidR="004802A5" w:rsidRPr="003611BA" w:rsidRDefault="004802A5" w:rsidP="004802A5">
      <w:pPr>
        <w:jc w:val="left"/>
        <w:rPr>
          <w:sz w:val="24"/>
          <w:szCs w:val="24"/>
          <w:lang w:val="it-IT"/>
        </w:rPr>
      </w:pPr>
      <w:r w:rsidRPr="003611BA">
        <w:rPr>
          <w:sz w:val="24"/>
          <w:lang w:val="it-IT"/>
        </w:rPr>
        <w:t>fondo n. [</w:t>
      </w:r>
      <w:r w:rsidRPr="003611BA">
        <w:rPr>
          <w:sz w:val="24"/>
          <w:highlight w:val="lightGray"/>
          <w:lang w:val="it-IT"/>
        </w:rPr>
        <w:t>…</w:t>
      </w:r>
      <w:r w:rsidRPr="003611BA">
        <w:rPr>
          <w:sz w:val="24"/>
          <w:lang w:val="it-IT"/>
        </w:rPr>
        <w:t>]</w:t>
      </w:r>
    </w:p>
    <w:p w14:paraId="4605A530" w14:textId="77777777" w:rsidR="00586CCB" w:rsidRPr="003611BA" w:rsidRDefault="00A57D3A" w:rsidP="0040005C">
      <w:pPr>
        <w:pStyle w:val="berschrift3"/>
        <w:rPr>
          <w:lang w:val="it-IT"/>
        </w:rPr>
      </w:pPr>
      <w:r w:rsidRPr="003611BA">
        <w:rPr>
          <w:lang w:val="it-IT"/>
        </w:rPr>
        <w:t>Situazione iniziale</w:t>
      </w:r>
    </w:p>
    <w:p w14:paraId="619EF42F" w14:textId="1A1E8B4D" w:rsidR="001433B8" w:rsidRPr="003611BA" w:rsidRDefault="009F3D96" w:rsidP="00617440">
      <w:pPr>
        <w:pStyle w:val="Haupttext"/>
        <w:rPr>
          <w:lang w:val="it-IT"/>
        </w:rPr>
      </w:pPr>
      <w:r w:rsidRPr="003611BA">
        <w:rPr>
          <w:lang w:val="it-IT"/>
        </w:rPr>
        <w:t>Il Comune ha intenzione di [</w:t>
      </w:r>
      <w:r w:rsidRPr="003611BA">
        <w:rPr>
          <w:highlight w:val="lightGray"/>
          <w:lang w:val="it-IT"/>
        </w:rPr>
        <w:t>cambiare la destinazione del/aumentare la densità edificatoria del/assegnare a una zona ...</w:t>
      </w:r>
      <w:r w:rsidR="003611BA" w:rsidRPr="003611BA">
        <w:rPr>
          <w:lang w:val="it-IT"/>
        </w:rPr>
        <w:t>]</w:t>
      </w:r>
      <w:r w:rsidR="003611BA" w:rsidRPr="003611BA">
        <w:rPr>
          <w:rStyle w:val="Funotenzeichen"/>
          <w:lang w:val="it-IT"/>
        </w:rPr>
        <w:footnoteReference w:id="2"/>
      </w:r>
      <w:r w:rsidR="003611BA" w:rsidRPr="003611BA">
        <w:rPr>
          <w:lang w:val="it-IT"/>
        </w:rPr>
        <w:t xml:space="preserve"> </w:t>
      </w:r>
      <w:r w:rsidRPr="003611BA">
        <w:rPr>
          <w:lang w:val="it-IT"/>
        </w:rPr>
        <w:t>il</w:t>
      </w:r>
      <w:r w:rsidR="003611BA">
        <w:rPr>
          <w:lang w:val="it-IT"/>
        </w:rPr>
        <w:t xml:space="preserve"> </w:t>
      </w:r>
      <w:r w:rsidRPr="003611BA">
        <w:rPr>
          <w:lang w:val="it-IT"/>
        </w:rPr>
        <w:t>fondo indicato in seguito. Tuttavia ciò avviene solo a condizione che i vantaggi correlati a questa misura di pianificazione vengano adeguatamente indennizzati.</w:t>
      </w:r>
    </w:p>
    <w:p w14:paraId="2A0A8F6F" w14:textId="77777777" w:rsidR="001433B8" w:rsidRPr="003611BA" w:rsidRDefault="001433B8" w:rsidP="00617440">
      <w:pPr>
        <w:pStyle w:val="Haupttext"/>
        <w:rPr>
          <w:lang w:val="it-IT"/>
        </w:rPr>
      </w:pPr>
      <w:r w:rsidRPr="003611BA">
        <w:rPr>
          <w:lang w:val="it-IT"/>
        </w:rPr>
        <w:t>Allo scopo di garantire la sussistenza di questo presupposto, le parti concordano la seguente compensazione del plusvalore.</w:t>
      </w:r>
    </w:p>
    <w:p w14:paraId="722D5F6D" w14:textId="77777777" w:rsidR="009F3D96" w:rsidRPr="003611BA" w:rsidRDefault="009F3D96" w:rsidP="00617440">
      <w:pPr>
        <w:pStyle w:val="Haupttext"/>
        <w:rPr>
          <w:lang w:val="it-IT"/>
        </w:rPr>
      </w:pPr>
      <w:r w:rsidRPr="003611BA">
        <w:rPr>
          <w:lang w:val="it-IT"/>
        </w:rPr>
        <w:t xml:space="preserve">La libertà decisionale in ambito pianificatorio di cui dispone l'autorità competente per la misura di pianificazione non viene limitata o pregiudicata in alcun modo dal presente accordo. Una rinuncia alla misura di pianificazione prospettata non dà origine a nessuna pretesa di risarcimento di alcun tipo nei confronti del Comune. </w:t>
      </w:r>
    </w:p>
    <w:p w14:paraId="51B2CB16" w14:textId="77777777" w:rsidR="00586CCB" w:rsidRPr="003611BA" w:rsidRDefault="007B4F03" w:rsidP="0040005C">
      <w:pPr>
        <w:pStyle w:val="berschrift3"/>
        <w:rPr>
          <w:lang w:val="it-IT"/>
        </w:rPr>
      </w:pPr>
      <w:r w:rsidRPr="003611BA">
        <w:rPr>
          <w:lang w:val="it-IT"/>
        </w:rPr>
        <w:t>Accordo</w:t>
      </w:r>
    </w:p>
    <w:p w14:paraId="5325F9CF" w14:textId="77777777" w:rsidR="006253AA" w:rsidRPr="003611BA" w:rsidRDefault="00EA7578" w:rsidP="006B5904">
      <w:pPr>
        <w:pStyle w:val="berschrift4"/>
        <w:rPr>
          <w:lang w:val="it-IT"/>
        </w:rPr>
      </w:pPr>
      <w:r w:rsidRPr="003611BA">
        <w:rPr>
          <w:lang w:val="it-IT"/>
        </w:rPr>
        <w:t>1.</w:t>
      </w:r>
      <w:r w:rsidRPr="003611BA">
        <w:rPr>
          <w:lang w:val="it-IT"/>
        </w:rPr>
        <w:tab/>
        <w:t>Compensazione del plusvalore</w:t>
      </w:r>
    </w:p>
    <w:p w14:paraId="72ED6CD6" w14:textId="77777777" w:rsidR="0002603E" w:rsidRPr="003611BA" w:rsidRDefault="0002603E" w:rsidP="00617440">
      <w:pPr>
        <w:pStyle w:val="Haupttext"/>
        <w:rPr>
          <w:lang w:val="it-IT"/>
        </w:rPr>
      </w:pPr>
      <w:r w:rsidRPr="003611BA">
        <w:rPr>
          <w:lang w:val="it-IT"/>
        </w:rPr>
        <w:t>Il proprietario si impegna a versare una compensazione al Comune a fronte del vantaggio derivante dalla misura di pianificazione prevista sul fondo n. [</w:t>
      </w:r>
      <w:r w:rsidRPr="003611BA">
        <w:rPr>
          <w:highlight w:val="lightGray"/>
          <w:lang w:val="it-IT"/>
        </w:rPr>
        <w:t>…</w:t>
      </w:r>
      <w:r w:rsidRPr="003611BA">
        <w:rPr>
          <w:lang w:val="it-IT"/>
        </w:rPr>
        <w:t>], Comune di [</w:t>
      </w:r>
      <w:r w:rsidRPr="003611BA">
        <w:rPr>
          <w:highlight w:val="lightGray"/>
          <w:lang w:val="it-IT"/>
        </w:rPr>
        <w:t>…</w:t>
      </w:r>
      <w:r w:rsidRPr="003611BA">
        <w:rPr>
          <w:lang w:val="it-IT"/>
        </w:rPr>
        <w:t>].</w:t>
      </w:r>
    </w:p>
    <w:p w14:paraId="19754A80" w14:textId="77777777" w:rsidR="0002603E" w:rsidRPr="003611BA" w:rsidRDefault="0002603E" w:rsidP="00617440">
      <w:pPr>
        <w:pStyle w:val="Haupttext"/>
        <w:rPr>
          <w:lang w:val="it-IT"/>
        </w:rPr>
      </w:pPr>
      <w:r w:rsidRPr="003611BA">
        <w:rPr>
          <w:lang w:val="it-IT"/>
        </w:rPr>
        <w:t>La compensazione ammonta a CHF […]</w:t>
      </w:r>
      <w:r w:rsidRPr="003611BA">
        <w:rPr>
          <w:rStyle w:val="Funotenzeichen"/>
          <w:lang w:val="it-IT"/>
        </w:rPr>
        <w:footnoteReference w:id="3"/>
      </w:r>
    </w:p>
    <w:p w14:paraId="43B7D49C" w14:textId="77777777" w:rsidR="00D66776" w:rsidRPr="003611BA" w:rsidRDefault="00D66776" w:rsidP="00D66776">
      <w:pPr>
        <w:pStyle w:val="Haupttext"/>
        <w:numPr>
          <w:ilvl w:val="0"/>
          <w:numId w:val="0"/>
        </w:numPr>
        <w:rPr>
          <w:lang w:val="it-IT"/>
        </w:rPr>
      </w:pPr>
      <w:r w:rsidRPr="003611BA">
        <w:rPr>
          <w:lang w:val="it-IT"/>
        </w:rPr>
        <w:t>[</w:t>
      </w:r>
      <w:r w:rsidRPr="003611BA">
        <w:rPr>
          <w:highlight w:val="lightGray"/>
          <w:lang w:val="it-IT"/>
        </w:rPr>
        <w:t>Variante</w:t>
      </w:r>
      <w:r w:rsidRPr="003611BA">
        <w:rPr>
          <w:lang w:val="it-IT"/>
        </w:rPr>
        <w:t>]</w:t>
      </w:r>
    </w:p>
    <w:p w14:paraId="7E6442C7" w14:textId="77777777" w:rsidR="00252095" w:rsidRPr="003611BA" w:rsidRDefault="00252095" w:rsidP="00617440">
      <w:pPr>
        <w:pStyle w:val="Haupttext"/>
        <w:rPr>
          <w:lang w:val="it-IT"/>
        </w:rPr>
      </w:pPr>
      <w:r w:rsidRPr="003611BA">
        <w:rPr>
          <w:lang w:val="it-IT"/>
        </w:rPr>
        <w:t>L'intera compensazione sul plusvalore da versare al Comune diviene esigibile al momento del passaggio in giudicato [</w:t>
      </w:r>
      <w:r w:rsidRPr="003611BA">
        <w:rPr>
          <w:highlight w:val="lightGray"/>
          <w:lang w:val="it-IT"/>
        </w:rPr>
        <w:t>del cambiamento di destinazione/dell'aumento della densità edificatoria/dell'assegnazione a una zona ...</w:t>
      </w:r>
      <w:r w:rsidRPr="003611BA">
        <w:rPr>
          <w:lang w:val="it-IT"/>
        </w:rPr>
        <w:t>] in tutto [</w:t>
      </w:r>
      <w:r w:rsidRPr="003611BA">
        <w:rPr>
          <w:highlight w:val="lightGray"/>
          <w:lang w:val="it-IT"/>
        </w:rPr>
        <w:t>o in parte</w:t>
      </w:r>
      <w:r w:rsidRPr="003611BA">
        <w:rPr>
          <w:lang w:val="it-IT"/>
        </w:rPr>
        <w:t>]</w:t>
      </w:r>
      <w:r w:rsidR="00754248" w:rsidRPr="003611BA">
        <w:rPr>
          <w:rStyle w:val="Funotenzeichen"/>
          <w:lang w:val="it-IT"/>
        </w:rPr>
        <w:footnoteReference w:id="4"/>
      </w:r>
      <w:r w:rsidRPr="003611BA">
        <w:rPr>
          <w:lang w:val="it-IT"/>
        </w:rPr>
        <w:t xml:space="preserve"> del fondo di cui sopra. </w:t>
      </w:r>
    </w:p>
    <w:p w14:paraId="6762D1E3" w14:textId="77777777" w:rsidR="00D66776" w:rsidRPr="003611BA" w:rsidRDefault="00D66776" w:rsidP="00D66776">
      <w:pPr>
        <w:pStyle w:val="Haupttext"/>
        <w:numPr>
          <w:ilvl w:val="0"/>
          <w:numId w:val="0"/>
        </w:numPr>
        <w:rPr>
          <w:lang w:val="it-IT"/>
        </w:rPr>
      </w:pPr>
      <w:r w:rsidRPr="003611BA">
        <w:rPr>
          <w:lang w:val="it-IT"/>
        </w:rPr>
        <w:t>[</w:t>
      </w:r>
      <w:r w:rsidRPr="003611BA">
        <w:rPr>
          <w:highlight w:val="lightGray"/>
          <w:lang w:val="it-IT"/>
        </w:rPr>
        <w:t>Variante</w:t>
      </w:r>
      <w:r w:rsidRPr="003611BA">
        <w:rPr>
          <w:lang w:val="it-IT"/>
        </w:rPr>
        <w:t>]</w:t>
      </w:r>
      <w:r w:rsidR="00AF5913" w:rsidRPr="003611BA">
        <w:rPr>
          <w:rStyle w:val="Funotenzeichen"/>
          <w:lang w:val="it-IT"/>
        </w:rPr>
        <w:footnoteReference w:id="5"/>
      </w:r>
    </w:p>
    <w:p w14:paraId="551AEC92" w14:textId="77777777" w:rsidR="00252095" w:rsidRPr="003611BA" w:rsidRDefault="00252095" w:rsidP="00617440">
      <w:pPr>
        <w:pStyle w:val="Haupttext"/>
        <w:rPr>
          <w:lang w:val="it-IT"/>
        </w:rPr>
      </w:pPr>
      <w:r w:rsidRPr="003611BA">
        <w:rPr>
          <w:lang w:val="it-IT"/>
        </w:rPr>
        <w:t>La compensazione del plusvalore diviene esigibile dopo l'entrata in vigore della misura di pianificazione se</w:t>
      </w:r>
    </w:p>
    <w:p w14:paraId="04F28797" w14:textId="77777777" w:rsidR="00D66776" w:rsidRPr="003611BA" w:rsidRDefault="00D66776" w:rsidP="00D66776">
      <w:pPr>
        <w:pStyle w:val="Haupttext"/>
        <w:numPr>
          <w:ilvl w:val="0"/>
          <w:numId w:val="29"/>
        </w:numPr>
        <w:rPr>
          <w:lang w:val="it-IT"/>
        </w:rPr>
      </w:pPr>
      <w:r w:rsidRPr="003611BA">
        <w:rPr>
          <w:lang w:val="it-IT"/>
        </w:rPr>
        <w:t xml:space="preserve">una prima licenza edilizia relativa all'edificazione del fondo menzionato </w:t>
      </w:r>
      <w:r w:rsidRPr="003611BA">
        <w:rPr>
          <w:highlight w:val="lightGray"/>
          <w:lang w:val="it-IT"/>
        </w:rPr>
        <w:t>[o di parti di esso</w:t>
      </w:r>
      <w:r w:rsidRPr="003611BA">
        <w:rPr>
          <w:lang w:val="it-IT"/>
        </w:rPr>
        <w:t>]</w:t>
      </w:r>
      <w:r w:rsidRPr="003611BA">
        <w:rPr>
          <w:vertAlign w:val="superscript"/>
          <w:lang w:val="it-IT"/>
        </w:rPr>
        <w:t>4</w:t>
      </w:r>
      <w:r w:rsidRPr="003611BA">
        <w:rPr>
          <w:lang w:val="it-IT"/>
        </w:rPr>
        <w:t xml:space="preserve"> è passata in giudicato.</w:t>
      </w:r>
    </w:p>
    <w:p w14:paraId="67486A92" w14:textId="77777777" w:rsidR="00252095" w:rsidRPr="003611BA" w:rsidRDefault="00754248" w:rsidP="00252095">
      <w:pPr>
        <w:pStyle w:val="Haupttext"/>
        <w:numPr>
          <w:ilvl w:val="0"/>
          <w:numId w:val="29"/>
        </w:numPr>
        <w:rPr>
          <w:lang w:val="it-IT"/>
        </w:rPr>
      </w:pPr>
      <w:r w:rsidRPr="003611BA">
        <w:rPr>
          <w:lang w:val="it-IT"/>
        </w:rPr>
        <w:t>il fondo menzionato [</w:t>
      </w:r>
      <w:r w:rsidRPr="003611BA">
        <w:rPr>
          <w:highlight w:val="lightGray"/>
          <w:lang w:val="it-IT"/>
        </w:rPr>
        <w:t>o parti di esso</w:t>
      </w:r>
      <w:r w:rsidRPr="003611BA">
        <w:rPr>
          <w:lang w:val="it-IT"/>
        </w:rPr>
        <w:t>]</w:t>
      </w:r>
      <w:r w:rsidRPr="003611BA">
        <w:rPr>
          <w:vertAlign w:val="superscript"/>
          <w:lang w:val="it-IT"/>
        </w:rPr>
        <w:t>4</w:t>
      </w:r>
      <w:r w:rsidRPr="003611BA">
        <w:rPr>
          <w:lang w:val="it-IT"/>
        </w:rPr>
        <w:t xml:space="preserve"> vengono alienati/e a un terzo; oppure</w:t>
      </w:r>
    </w:p>
    <w:p w14:paraId="602D3E26" w14:textId="77777777" w:rsidR="00252095" w:rsidRPr="003611BA" w:rsidRDefault="00252095" w:rsidP="00617440">
      <w:pPr>
        <w:pStyle w:val="Haupttext"/>
        <w:rPr>
          <w:lang w:val="it-IT"/>
        </w:rPr>
      </w:pPr>
      <w:r w:rsidRPr="003611BA">
        <w:rPr>
          <w:lang w:val="it-IT"/>
        </w:rPr>
        <w:t>La tassa viene adeguata al rincaro fino a quando diviene esigibile. Il rincaro viene determinato secondo l'indice nazionale dei prezzi al consumo. Una variazione di questo indice superiore a dieci punti percentuali comporta un adeguamento corrispondente della tassa sul plusvalore concordata.</w:t>
      </w:r>
    </w:p>
    <w:p w14:paraId="42B63336" w14:textId="77777777" w:rsidR="00CD4FDF" w:rsidRPr="003611BA" w:rsidRDefault="00EF633C" w:rsidP="00617440">
      <w:pPr>
        <w:pStyle w:val="Haupttext"/>
        <w:rPr>
          <w:lang w:val="it-IT"/>
        </w:rPr>
      </w:pPr>
      <w:r w:rsidRPr="003611BA">
        <w:rPr>
          <w:lang w:val="it-IT"/>
        </w:rPr>
        <w:t xml:space="preserve">Il termine di pagamento ammonta a 60 giorni dalla fatturazione da parte del Comune. In caso di ritardo nel pagamento è dovuto un interesse di mora pari al 5%. </w:t>
      </w:r>
    </w:p>
    <w:p w14:paraId="62D77EAC" w14:textId="77777777" w:rsidR="00CD4FDF" w:rsidRPr="003611BA" w:rsidRDefault="00CD4FDF" w:rsidP="00617440">
      <w:pPr>
        <w:pStyle w:val="Haupttext"/>
        <w:rPr>
          <w:lang w:val="it-IT"/>
        </w:rPr>
      </w:pPr>
      <w:r w:rsidRPr="003611BA">
        <w:rPr>
          <w:lang w:val="it-IT"/>
        </w:rPr>
        <w:t>Il credito inerente la compensazione del plusvalore viene garantito come segue mediante un accordo separato</w:t>
      </w:r>
      <w:r w:rsidRPr="003611BA">
        <w:rPr>
          <w:rStyle w:val="Funotenzeichen"/>
          <w:lang w:val="it-IT"/>
        </w:rPr>
        <w:footnoteReference w:id="6"/>
      </w:r>
      <w:r w:rsidRPr="003611BA">
        <w:rPr>
          <w:lang w:val="it-IT"/>
        </w:rPr>
        <w:t>: [</w:t>
      </w:r>
      <w:r w:rsidRPr="003611BA">
        <w:rPr>
          <w:highlight w:val="lightGray"/>
          <w:lang w:val="it-IT"/>
        </w:rPr>
        <w:t>…</w:t>
      </w:r>
      <w:r w:rsidRPr="003611BA">
        <w:rPr>
          <w:lang w:val="it-IT"/>
        </w:rPr>
        <w:t>]</w:t>
      </w:r>
    </w:p>
    <w:p w14:paraId="00238772" w14:textId="77777777" w:rsidR="009D4561" w:rsidRPr="003611BA" w:rsidRDefault="00754248" w:rsidP="00500A1C">
      <w:pPr>
        <w:pStyle w:val="berschrift4"/>
        <w:rPr>
          <w:lang w:val="it-IT"/>
        </w:rPr>
      </w:pPr>
      <w:r w:rsidRPr="003611BA">
        <w:rPr>
          <w:lang w:val="it-IT"/>
        </w:rPr>
        <w:t>2.</w:t>
      </w:r>
      <w:r w:rsidRPr="003611BA">
        <w:rPr>
          <w:lang w:val="it-IT"/>
        </w:rPr>
        <w:tab/>
        <w:t>Osservazioni conclusive</w:t>
      </w:r>
    </w:p>
    <w:p w14:paraId="6E0FD6A9" w14:textId="11CB9599" w:rsidR="00AC45FE" w:rsidRPr="003611BA" w:rsidRDefault="00500A1C" w:rsidP="00AC45FE">
      <w:pPr>
        <w:pStyle w:val="Haupttext"/>
        <w:rPr>
          <w:lang w:val="it-IT"/>
        </w:rPr>
      </w:pPr>
      <w:r w:rsidRPr="003611BA">
        <w:rPr>
          <w:lang w:val="it-IT"/>
        </w:rPr>
        <w:t xml:space="preserve">Si applica il diritto svizzero. Controversie derivanti da contratti di diritto pubblico sono soggette alla giurisdizione del Tribunale </w:t>
      </w:r>
      <w:r w:rsidR="00DE713F">
        <w:rPr>
          <w:lang w:val="it-IT"/>
        </w:rPr>
        <w:t>d'appello</w:t>
      </w:r>
      <w:r w:rsidRPr="003611BA">
        <w:rPr>
          <w:lang w:val="it-IT"/>
        </w:rPr>
        <w:t xml:space="preserve"> del Cantone dei Grigioni.</w:t>
      </w:r>
    </w:p>
    <w:p w14:paraId="70AAFEB7" w14:textId="77777777" w:rsidR="00586CCB" w:rsidRPr="003611BA" w:rsidRDefault="009D4561" w:rsidP="00DD6693">
      <w:pPr>
        <w:pStyle w:val="Haupttext"/>
        <w:rPr>
          <w:lang w:val="it-IT"/>
        </w:rPr>
      </w:pPr>
      <w:r w:rsidRPr="003611BA">
        <w:rPr>
          <w:lang w:val="it-IT"/>
        </w:rPr>
        <w:t>Il presente accordo viene stilato in [</w:t>
      </w:r>
      <w:r w:rsidRPr="003611BA">
        <w:rPr>
          <w:highlight w:val="lightGray"/>
          <w:lang w:val="it-IT"/>
        </w:rPr>
        <w:t>2</w:t>
      </w:r>
      <w:r w:rsidRPr="003611BA">
        <w:rPr>
          <w:lang w:val="it-IT"/>
        </w:rPr>
        <w:t>] esemplari, ossia uno per ciascuna parte.</w:t>
      </w:r>
    </w:p>
    <w:p w14:paraId="6AFA9B4E" w14:textId="77777777" w:rsidR="00A77A77" w:rsidRPr="003611BA" w:rsidRDefault="00A77A77" w:rsidP="00711156">
      <w:pPr>
        <w:rPr>
          <w:highlight w:val="yellow"/>
          <w:lang w:val="it-IT"/>
        </w:rPr>
      </w:pPr>
    </w:p>
    <w:p w14:paraId="2B24DDAC" w14:textId="77777777" w:rsidR="00586CCB" w:rsidRPr="003611BA" w:rsidRDefault="00586CCB" w:rsidP="00141229">
      <w:pPr>
        <w:jc w:val="left"/>
        <w:rPr>
          <w:lang w:val="it-IT"/>
        </w:rPr>
      </w:pPr>
      <w:r w:rsidRPr="003611BA">
        <w:rPr>
          <w:lang w:val="it-IT"/>
        </w:rPr>
        <w:t>Dichiarano di essere d'accordo con la presente regolamentazione.</w:t>
      </w:r>
    </w:p>
    <w:p w14:paraId="4058DD56" w14:textId="77777777" w:rsidR="00586CCB" w:rsidRPr="003611BA" w:rsidRDefault="00586CCB" w:rsidP="00711156">
      <w:pPr>
        <w:rPr>
          <w:lang w:val="it-IT"/>
        </w:rPr>
      </w:pPr>
    </w:p>
    <w:p w14:paraId="2C2FFB85" w14:textId="77777777" w:rsidR="00586CCB" w:rsidRPr="003611BA" w:rsidRDefault="009D4561" w:rsidP="00141229">
      <w:pPr>
        <w:jc w:val="left"/>
        <w:rPr>
          <w:lang w:val="it-IT"/>
        </w:rPr>
      </w:pPr>
      <w:r w:rsidRPr="003611BA">
        <w:rPr>
          <w:lang w:val="it-IT"/>
        </w:rPr>
        <w:t>Per il Comune di [</w:t>
      </w:r>
      <w:r w:rsidRPr="003611BA">
        <w:rPr>
          <w:highlight w:val="lightGray"/>
          <w:lang w:val="it-IT"/>
        </w:rPr>
        <w:t>…</w:t>
      </w:r>
      <w:r w:rsidRPr="003611BA">
        <w:rPr>
          <w:lang w:val="it-IT"/>
        </w:rPr>
        <w:t>]</w:t>
      </w:r>
    </w:p>
    <w:p w14:paraId="47D0D789" w14:textId="77777777" w:rsidR="00A77A77" w:rsidRPr="003611BA" w:rsidRDefault="00A77A77" w:rsidP="00141229">
      <w:pPr>
        <w:jc w:val="left"/>
        <w:rPr>
          <w:lang w:val="it-IT"/>
        </w:rPr>
      </w:pPr>
    </w:p>
    <w:p w14:paraId="31E981C8" w14:textId="77777777" w:rsidR="00A77A77" w:rsidRPr="003611BA" w:rsidRDefault="00A77A77" w:rsidP="00141229">
      <w:pPr>
        <w:jc w:val="left"/>
        <w:rPr>
          <w:lang w:val="it-IT"/>
        </w:rPr>
      </w:pPr>
    </w:p>
    <w:p w14:paraId="6624956B" w14:textId="77777777" w:rsidR="009D4561" w:rsidRPr="003611BA" w:rsidRDefault="009D4561" w:rsidP="00141229">
      <w:pPr>
        <w:jc w:val="left"/>
        <w:rPr>
          <w:lang w:val="it-IT"/>
        </w:rPr>
      </w:pPr>
      <w:r w:rsidRPr="003611BA">
        <w:rPr>
          <w:lang w:val="it-IT"/>
        </w:rPr>
        <w:t>……………………………………</w:t>
      </w:r>
      <w:r w:rsidRPr="003611BA">
        <w:rPr>
          <w:lang w:val="it-IT"/>
        </w:rPr>
        <w:tab/>
      </w:r>
      <w:r w:rsidRPr="003611BA">
        <w:rPr>
          <w:lang w:val="it-IT"/>
        </w:rPr>
        <w:tab/>
      </w:r>
      <w:r w:rsidRPr="003611BA">
        <w:rPr>
          <w:lang w:val="it-IT"/>
        </w:rPr>
        <w:tab/>
        <w:t>……………………………………</w:t>
      </w:r>
    </w:p>
    <w:p w14:paraId="248519D1" w14:textId="77777777" w:rsidR="009D4561" w:rsidRPr="003611BA" w:rsidRDefault="00C95001" w:rsidP="00141229">
      <w:pPr>
        <w:jc w:val="left"/>
        <w:rPr>
          <w:lang w:val="it-IT"/>
        </w:rPr>
      </w:pPr>
      <w:r w:rsidRPr="003611BA">
        <w:rPr>
          <w:lang w:val="it-IT"/>
        </w:rPr>
        <w:t>[</w:t>
      </w:r>
      <w:r w:rsidRPr="003611BA">
        <w:rPr>
          <w:highlight w:val="lightGray"/>
          <w:lang w:val="it-IT"/>
        </w:rPr>
        <w:t>Il sindaco/La sindaca</w:t>
      </w:r>
      <w:r w:rsidRPr="003611BA">
        <w:rPr>
          <w:lang w:val="it-IT"/>
        </w:rPr>
        <w:t>]</w:t>
      </w:r>
      <w:r w:rsidRPr="003611BA">
        <w:rPr>
          <w:lang w:val="it-IT"/>
        </w:rPr>
        <w:tab/>
      </w:r>
      <w:r w:rsidRPr="003611BA">
        <w:rPr>
          <w:lang w:val="it-IT"/>
        </w:rPr>
        <w:tab/>
      </w:r>
      <w:r w:rsidRPr="003611BA">
        <w:rPr>
          <w:lang w:val="it-IT"/>
        </w:rPr>
        <w:tab/>
        <w:t>[</w:t>
      </w:r>
      <w:r w:rsidRPr="003611BA">
        <w:rPr>
          <w:highlight w:val="lightGray"/>
          <w:lang w:val="it-IT"/>
        </w:rPr>
        <w:t>Il segretario comunale/La segretaria comunale</w:t>
      </w:r>
      <w:r w:rsidRPr="003611BA">
        <w:rPr>
          <w:lang w:val="it-IT"/>
        </w:rPr>
        <w:t>]</w:t>
      </w:r>
    </w:p>
    <w:p w14:paraId="213C28A4" w14:textId="77777777" w:rsidR="009D4561" w:rsidRPr="003611BA" w:rsidRDefault="009D4561" w:rsidP="00711156">
      <w:pPr>
        <w:rPr>
          <w:lang w:val="it-IT"/>
        </w:rPr>
      </w:pPr>
    </w:p>
    <w:p w14:paraId="1BEFDA85" w14:textId="77777777" w:rsidR="009D4561" w:rsidRPr="003611BA" w:rsidRDefault="00141229" w:rsidP="00141229">
      <w:pPr>
        <w:jc w:val="left"/>
        <w:rPr>
          <w:lang w:val="it-IT"/>
        </w:rPr>
      </w:pPr>
      <w:r w:rsidRPr="003611BA">
        <w:rPr>
          <w:lang w:val="it-IT"/>
        </w:rPr>
        <w:t>Il proprietario</w:t>
      </w:r>
    </w:p>
    <w:p w14:paraId="5B9EE9F8" w14:textId="77777777" w:rsidR="009D4561" w:rsidRPr="003611BA" w:rsidRDefault="009D4561" w:rsidP="00711156">
      <w:pPr>
        <w:rPr>
          <w:lang w:val="it-IT"/>
        </w:rPr>
      </w:pPr>
    </w:p>
    <w:p w14:paraId="7A82BE22" w14:textId="77777777" w:rsidR="009D4561" w:rsidRPr="003611BA" w:rsidRDefault="009D4561" w:rsidP="00141229">
      <w:pPr>
        <w:jc w:val="left"/>
        <w:rPr>
          <w:lang w:val="it-IT"/>
        </w:rPr>
      </w:pPr>
    </w:p>
    <w:p w14:paraId="04C525E7" w14:textId="77777777" w:rsidR="009D4561" w:rsidRPr="003611BA" w:rsidRDefault="009D4561" w:rsidP="00141229">
      <w:pPr>
        <w:jc w:val="left"/>
        <w:rPr>
          <w:lang w:val="it-IT"/>
        </w:rPr>
      </w:pPr>
      <w:r w:rsidRPr="003611BA">
        <w:rPr>
          <w:lang w:val="it-IT"/>
        </w:rPr>
        <w:t>……………………………………</w:t>
      </w:r>
      <w:r w:rsidRPr="003611BA">
        <w:rPr>
          <w:lang w:val="it-IT"/>
        </w:rPr>
        <w:tab/>
      </w:r>
      <w:r w:rsidRPr="003611BA">
        <w:rPr>
          <w:lang w:val="it-IT"/>
        </w:rPr>
        <w:tab/>
      </w:r>
      <w:r w:rsidRPr="003611BA">
        <w:rPr>
          <w:lang w:val="it-IT"/>
        </w:rPr>
        <w:tab/>
      </w:r>
    </w:p>
    <w:p w14:paraId="1A4BB2A9" w14:textId="77777777" w:rsidR="009D4561" w:rsidRPr="003611BA" w:rsidRDefault="009D4561" w:rsidP="00141229">
      <w:pPr>
        <w:jc w:val="left"/>
        <w:rPr>
          <w:lang w:val="it-IT"/>
        </w:rPr>
      </w:pPr>
      <w:r w:rsidRPr="003611BA">
        <w:rPr>
          <w:lang w:val="it-IT"/>
        </w:rPr>
        <w:t>[</w:t>
      </w:r>
      <w:r w:rsidRPr="003611BA">
        <w:rPr>
          <w:highlight w:val="lightGray"/>
          <w:lang w:val="it-IT"/>
        </w:rPr>
        <w:t>Nome</w:t>
      </w:r>
      <w:r w:rsidRPr="003611BA">
        <w:rPr>
          <w:lang w:val="it-IT"/>
        </w:rPr>
        <w:t>]</w:t>
      </w:r>
      <w:r w:rsidRPr="003611BA">
        <w:rPr>
          <w:lang w:val="it-IT"/>
        </w:rPr>
        <w:tab/>
      </w:r>
      <w:r w:rsidRPr="003611BA">
        <w:rPr>
          <w:lang w:val="it-IT"/>
        </w:rPr>
        <w:tab/>
      </w:r>
      <w:r w:rsidRPr="003611BA">
        <w:rPr>
          <w:lang w:val="it-IT"/>
        </w:rPr>
        <w:tab/>
      </w:r>
      <w:r w:rsidRPr="003611BA">
        <w:rPr>
          <w:lang w:val="it-IT"/>
        </w:rPr>
        <w:tab/>
      </w:r>
      <w:r w:rsidRPr="003611BA">
        <w:rPr>
          <w:lang w:val="it-IT"/>
        </w:rPr>
        <w:tab/>
      </w:r>
      <w:r w:rsidRPr="003611BA">
        <w:rPr>
          <w:lang w:val="it-IT"/>
        </w:rPr>
        <w:tab/>
      </w:r>
    </w:p>
    <w:p w14:paraId="6511C985" w14:textId="77777777" w:rsidR="009D4561" w:rsidRPr="003611BA" w:rsidRDefault="009D4561" w:rsidP="00711156">
      <w:pPr>
        <w:rPr>
          <w:lang w:val="it-IT"/>
        </w:rPr>
      </w:pPr>
    </w:p>
    <w:p w14:paraId="766CE222" w14:textId="77777777" w:rsidR="00F42E89" w:rsidRPr="003611BA" w:rsidRDefault="00F42E89" w:rsidP="00711156">
      <w:pPr>
        <w:rPr>
          <w:lang w:val="it-IT"/>
        </w:rPr>
      </w:pPr>
    </w:p>
    <w:p w14:paraId="4A2C24FE" w14:textId="77777777" w:rsidR="00F42E89" w:rsidRPr="003611BA" w:rsidRDefault="00F42E89" w:rsidP="00711156">
      <w:pPr>
        <w:rPr>
          <w:szCs w:val="22"/>
          <w:lang w:val="it-IT"/>
        </w:rPr>
      </w:pPr>
    </w:p>
    <w:p w14:paraId="1A93FAD1" w14:textId="77777777" w:rsidR="00A77A77" w:rsidRPr="003611BA" w:rsidRDefault="00A77A77" w:rsidP="00711156">
      <w:pPr>
        <w:rPr>
          <w:szCs w:val="22"/>
          <w:lang w:val="it-IT"/>
        </w:rPr>
      </w:pPr>
    </w:p>
    <w:p w14:paraId="3A09F5E6" w14:textId="77777777" w:rsidR="00740201" w:rsidRPr="003611BA" w:rsidRDefault="00740201" w:rsidP="001C33A2">
      <w:pPr>
        <w:pStyle w:val="hinweis"/>
        <w:shd w:val="pct12" w:color="auto" w:fill="auto"/>
        <w:rPr>
          <w:lang w:val="it-IT"/>
        </w:rPr>
      </w:pPr>
      <w:r w:rsidRPr="003611BA">
        <w:rPr>
          <w:u w:val="single"/>
          <w:lang w:val="it-IT"/>
        </w:rPr>
        <w:t>Indicazione d'uso:</w:t>
      </w:r>
      <w:r w:rsidRPr="003611BA">
        <w:rPr>
          <w:lang w:val="it-IT"/>
        </w:rPr>
        <w:t xml:space="preserve"> questo modello di contratto rappresenta uno strumento ausiliario del Cantone. Un contratto deve essere redatto in base al singolo caso concreto. Questo modello non sostituisce una consulenza legale per la redazione del contratto. Le formulazioni contenute in questo modello hanno mero carattere di proposta. I passaggi di testo che devono essere integrati o precisati per mano delle parti vengono resi individuabili con i segnaposto messi tra parentesi quadre […] e si trovano su sfondo grigio. Spiegazioni e indicazioni relative alle varianti per la redazione del contratto sono contenute nella nota a piè di pagina. </w:t>
      </w:r>
    </w:p>
    <w:p w14:paraId="2B2B4775" w14:textId="77777777" w:rsidR="009D4561" w:rsidRPr="003611BA" w:rsidRDefault="009D4561" w:rsidP="00711156">
      <w:pPr>
        <w:rPr>
          <w:lang w:val="it-IT"/>
        </w:rPr>
      </w:pPr>
    </w:p>
    <w:p w14:paraId="3661113F" w14:textId="77777777" w:rsidR="009D4561" w:rsidRPr="003611BA" w:rsidRDefault="009D4561" w:rsidP="00A77A77">
      <w:pPr>
        <w:pStyle w:val="Text"/>
        <w:tabs>
          <w:tab w:val="left" w:pos="1425"/>
        </w:tabs>
        <w:rPr>
          <w:lang w:val="it-IT"/>
        </w:rPr>
      </w:pPr>
    </w:p>
    <w:sectPr w:rsidR="009D4561" w:rsidRPr="003611BA">
      <w:headerReference w:type="even" r:id="rId11"/>
      <w:headerReference w:type="default" r:id="rId12"/>
      <w:headerReference w:type="first" r:id="rId13"/>
      <w:pgSz w:w="11906" w:h="16838" w:code="9"/>
      <w:pgMar w:top="1418" w:right="1588" w:bottom="1701" w:left="1418" w:header="851" w:footer="720" w:gutter="0"/>
      <w:paperSrc w:first="263"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38D8F" w14:textId="77777777" w:rsidR="00261BA2" w:rsidRDefault="00261BA2" w:rsidP="00711156">
      <w:r>
        <w:separator/>
      </w:r>
    </w:p>
  </w:endnote>
  <w:endnote w:type="continuationSeparator" w:id="0">
    <w:p w14:paraId="1CF0CDD9" w14:textId="77777777" w:rsidR="00261BA2" w:rsidRDefault="00261BA2" w:rsidP="0071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TOptim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F6B23" w14:textId="77777777" w:rsidR="00261BA2" w:rsidRDefault="00261BA2" w:rsidP="00711156">
      <w:r>
        <w:separator/>
      </w:r>
    </w:p>
  </w:footnote>
  <w:footnote w:type="continuationSeparator" w:id="0">
    <w:p w14:paraId="7C3E6247" w14:textId="77777777" w:rsidR="00261BA2" w:rsidRDefault="00261BA2" w:rsidP="00711156">
      <w:r>
        <w:continuationSeparator/>
      </w:r>
    </w:p>
  </w:footnote>
  <w:footnote w:id="1">
    <w:p w14:paraId="039E5215" w14:textId="2B5CBA8E" w:rsidR="00CB3C2E" w:rsidRDefault="00CB3C2E">
      <w:pPr>
        <w:pStyle w:val="Funotentext"/>
      </w:pPr>
      <w:r>
        <w:rPr>
          <w:rStyle w:val="Funotenzeichen"/>
        </w:rPr>
        <w:footnoteRef/>
      </w:r>
      <w:r>
        <w:t xml:space="preserve"> </w:t>
      </w:r>
      <w:r>
        <w:rPr>
          <w:b/>
        </w:rPr>
        <w:t>Accordi</w:t>
      </w:r>
      <w:r>
        <w:t xml:space="preserve"> relativi alla tassa sul plusvalore </w:t>
      </w:r>
      <w:r>
        <w:rPr>
          <w:b/>
        </w:rPr>
        <w:t>per azzonamenti</w:t>
      </w:r>
      <w:r>
        <w:t xml:space="preserve"> decisi dal comune dopo il 1° aprile 2019 </w:t>
      </w:r>
      <w:r>
        <w:rPr>
          <w:b/>
        </w:rPr>
        <w:t>sono nulli</w:t>
      </w:r>
      <w:r>
        <w:t xml:space="preserve"> (art. 108a cpv. 1 LPTC). </w:t>
      </w:r>
      <w:r>
        <w:br/>
      </w:r>
      <w:r>
        <w:br/>
      </w:r>
      <w:r>
        <w:rPr>
          <w:b/>
        </w:rPr>
        <w:t>Accordi relativi alla tassa sul plusvalore e concernenti altre fattispecie di tassazione</w:t>
      </w:r>
      <w:r>
        <w:t xml:space="preserve"> continuano ad essere </w:t>
      </w:r>
      <w:r>
        <w:rPr>
          <w:b/>
        </w:rPr>
        <w:t>ammessi</w:t>
      </w:r>
      <w:r>
        <w:t xml:space="preserve">, più precisamente gli accordi relativi alla tassa sul plusvalore in seguito a vantaggi derivanti dalla pianificazione in seguito a </w:t>
      </w:r>
      <w:r>
        <w:rPr>
          <w:b/>
        </w:rPr>
        <w:t>cambiamenti di destinazione o aumenti della densità edificatoria</w:t>
      </w:r>
      <w:r>
        <w:t xml:space="preserve"> oppure ad altre fattispecie di tassazione comunali come l'assegnazione di terreno a una zona di estrazione di materiali, a una zona di deposito di materiale oppure a una zona di discarica. Invece di prestazioni in denaro è possibile stabilire </w:t>
      </w:r>
      <w:r>
        <w:rPr>
          <w:b/>
        </w:rPr>
        <w:t>anche altre prestazioni</w:t>
      </w:r>
      <w:r>
        <w:t xml:space="preserve"> (art. 19j cpv. 2 e 3 LPTC e art. 35i OPTC). </w:t>
      </w:r>
      <w:r>
        <w:br/>
      </w:r>
      <w:r>
        <w:br/>
      </w:r>
      <w:r>
        <w:rPr>
          <w:b/>
        </w:rPr>
        <w:t>Simili accordi</w:t>
      </w:r>
      <w:r>
        <w:t xml:space="preserve"> sulla tassa sul plusvalore concernenti altre fattispecie di tassazione comunali sono </w:t>
      </w:r>
      <w:r>
        <w:rPr>
          <w:b/>
        </w:rPr>
        <w:t>ammessi</w:t>
      </w:r>
      <w:r>
        <w:t xml:space="preserve"> se </w:t>
      </w:r>
      <w:r>
        <w:rPr>
          <w:b/>
        </w:rPr>
        <w:t>previsto nel diritto comunale (legge edilizia)</w:t>
      </w:r>
      <w:r>
        <w:t xml:space="preserve"> (cfr. art. 19 cpv. 3 ultima frase nel Modello di legge edilizia per i Comuni del Cantone dei Grigioni, MLE 2020: "… La tassa può anche essere concordata contrattualmente.").</w:t>
      </w:r>
    </w:p>
  </w:footnote>
  <w:footnote w:id="2">
    <w:p w14:paraId="31752715" w14:textId="77777777" w:rsidR="003611BA" w:rsidRPr="00EA7578" w:rsidRDefault="003611BA" w:rsidP="003611BA">
      <w:pPr>
        <w:pStyle w:val="Fuzeile"/>
      </w:pPr>
      <w:r>
        <w:rPr>
          <w:rStyle w:val="Funotenzeichen"/>
        </w:rPr>
        <w:footnoteRef/>
      </w:r>
      <w:r>
        <w:t xml:space="preserve"> Un accordo relativo alla tassa sul plusvalore in caso di assegnazione di un fondo non edificabile a una zona edificabile è inammissibile, cfr. nota a piè di pagina 1.</w:t>
      </w:r>
    </w:p>
  </w:footnote>
  <w:footnote w:id="3">
    <w:p w14:paraId="303A877E" w14:textId="77777777" w:rsidR="0002603E" w:rsidRDefault="0002603E" w:rsidP="0002603E">
      <w:pPr>
        <w:pStyle w:val="Fuzeile"/>
      </w:pPr>
      <w:r>
        <w:rPr>
          <w:rStyle w:val="Funotenzeichen"/>
        </w:rPr>
        <w:footnoteRef/>
      </w:r>
      <w:r>
        <w:t xml:space="preserve"> La tassa sul plusvalore può essere determinata per metro quadro oppure con altre modalità (ad es. aliquota concordata sul plusvalore effettivamente realizzato in analogia a quanto previsto dall'art. 19k e dall'art. 19l LPTC). È anche ammissibile concordare altre prestazioni anziché prestazioni in denaro. </w:t>
      </w:r>
    </w:p>
  </w:footnote>
  <w:footnote w:id="4">
    <w:p w14:paraId="506CBE38" w14:textId="77777777" w:rsidR="00754248" w:rsidRDefault="00754248" w:rsidP="00754248">
      <w:pPr>
        <w:pStyle w:val="Fuzeile"/>
      </w:pPr>
      <w:r>
        <w:rPr>
          <w:rStyle w:val="Funotenzeichen"/>
        </w:rPr>
        <w:footnoteRef/>
      </w:r>
      <w:r>
        <w:t xml:space="preserve"> Questa integrazione dipende dalle modalità scelte per calcolare la tassa e risulta opportuna in particolare quando ci si è accordati sul calcolo in base ai metri quadri.</w:t>
      </w:r>
    </w:p>
  </w:footnote>
  <w:footnote w:id="5">
    <w:p w14:paraId="76CA5530" w14:textId="77777777" w:rsidR="00AF5913" w:rsidRDefault="00AF5913" w:rsidP="00AF5913">
      <w:pPr>
        <w:pStyle w:val="Fuzeile"/>
      </w:pPr>
      <w:r>
        <w:rPr>
          <w:rStyle w:val="Funotenzeichen"/>
        </w:rPr>
        <w:footnoteRef/>
      </w:r>
      <w:r>
        <w:t xml:space="preserve"> In alternativa l'esigibilità della compensazione del plusvalore può essere disciplinata anche in analogia a quanto previsto dall'art. 19n LPTC, secondo cui la tassa diviene esigibile in caso di edificazione e di alienazione. </w:t>
      </w:r>
    </w:p>
  </w:footnote>
  <w:footnote w:id="6">
    <w:p w14:paraId="4B331364" w14:textId="77777777" w:rsidR="00CD4FDF" w:rsidRDefault="00CD4FDF" w:rsidP="006B5904">
      <w:pPr>
        <w:pStyle w:val="Fuzeile"/>
      </w:pPr>
      <w:r>
        <w:rPr>
          <w:rStyle w:val="Funotenzeichen"/>
        </w:rPr>
        <w:footnoteRef/>
      </w:r>
      <w:r>
        <w:t xml:space="preserve"> Possibilità: garanzia bancaria sotto forma di fideiussione solidale, ipoteca o cartella ipotecaria a favore del Comune su un fondo terzo, ecc.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C9D60" w14:textId="77777777" w:rsidR="00261BA2" w:rsidRDefault="00261BA2" w:rsidP="00711156">
    <w:pPr>
      <w:pStyle w:val="Kopf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49CE318F" w14:textId="77777777" w:rsidR="00261BA2" w:rsidRDefault="00261BA2" w:rsidP="007111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569945"/>
      <w:docPartObj>
        <w:docPartGallery w:val="Page Numbers (Top of Page)"/>
        <w:docPartUnique/>
      </w:docPartObj>
    </w:sdtPr>
    <w:sdtEndPr/>
    <w:sdtContent>
      <w:p w14:paraId="48CD1FF8" w14:textId="0B0E52A3" w:rsidR="00C379D0" w:rsidRDefault="00C379D0">
        <w:pPr>
          <w:pStyle w:val="Kopfzeile"/>
          <w:jc w:val="center"/>
        </w:pPr>
        <w:r>
          <w:fldChar w:fldCharType="begin"/>
        </w:r>
        <w:r>
          <w:instrText>PAGE   \* MERGEFORMAT</w:instrText>
        </w:r>
        <w:r>
          <w:fldChar w:fldCharType="separate"/>
        </w:r>
        <w:r w:rsidR="002F7B83">
          <w:rPr>
            <w:noProof/>
          </w:rPr>
          <w:t>2</w:t>
        </w:r>
        <w:r>
          <w:fldChar w:fldCharType="end"/>
        </w:r>
      </w:p>
    </w:sdtContent>
  </w:sdt>
  <w:p w14:paraId="005049A2" w14:textId="77777777" w:rsidR="00261BA2" w:rsidRDefault="00261BA2" w:rsidP="009A657A">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9597" w14:textId="540E4936" w:rsidR="009A657A" w:rsidRPr="00AD25D9" w:rsidRDefault="009A657A" w:rsidP="009A657A">
    <w:pPr>
      <w:pStyle w:val="Kopfzeile"/>
      <w:pBdr>
        <w:top w:val="single" w:sz="4" w:space="1" w:color="auto"/>
        <w:left w:val="single" w:sz="4" w:space="4" w:color="auto"/>
        <w:bottom w:val="single" w:sz="4" w:space="1" w:color="auto"/>
        <w:right w:val="single" w:sz="4" w:space="4" w:color="auto"/>
      </w:pBdr>
      <w:rPr>
        <w:b/>
        <w:sz w:val="24"/>
      </w:rPr>
    </w:pPr>
    <w:r>
      <w:rPr>
        <w:b/>
        <w:sz w:val="24"/>
      </w:rPr>
      <w:t>Guida d'applicazione V2</w:t>
    </w:r>
  </w:p>
  <w:p w14:paraId="30E1ABF5" w14:textId="181B78EE" w:rsidR="009A657A" w:rsidRPr="00F516E2" w:rsidRDefault="006C4F0C" w:rsidP="009A657A">
    <w:pPr>
      <w:pStyle w:val="Kopfzeile"/>
      <w:pBdr>
        <w:top w:val="single" w:sz="4" w:space="1" w:color="auto"/>
        <w:left w:val="single" w:sz="4" w:space="4" w:color="auto"/>
        <w:bottom w:val="single" w:sz="4" w:space="1" w:color="auto"/>
        <w:right w:val="single" w:sz="4" w:space="4" w:color="auto"/>
      </w:pBdr>
    </w:pPr>
    <w:r>
      <w:t xml:space="preserve">Ufficio per lo sviluppo del territorio dei Grigioni, versione stato </w:t>
    </w:r>
    <w:r w:rsidR="00DE713F">
      <w:t>20</w:t>
    </w:r>
    <w:r>
      <w:t>.1</w:t>
    </w:r>
    <w:r w:rsidR="00DE713F">
      <w:t>2</w:t>
    </w:r>
    <w:r>
      <w:t>.202</w:t>
    </w:r>
    <w:r w:rsidR="00DE713F">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9322E8"/>
    <w:multiLevelType w:val="hybridMultilevel"/>
    <w:tmpl w:val="BECE596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C6388B"/>
    <w:multiLevelType w:val="hybridMultilevel"/>
    <w:tmpl w:val="C9FECC30"/>
    <w:lvl w:ilvl="0" w:tplc="F26CCE80">
      <w:start w:val="1"/>
      <w:numFmt w:val="decimal"/>
      <w:pStyle w:val="Haupttext"/>
      <w:lvlText w:val="%1."/>
      <w:lvlJc w:val="left"/>
      <w:pPr>
        <w:ind w:left="644" w:hanging="644"/>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3F102A4"/>
    <w:multiLevelType w:val="hybridMultilevel"/>
    <w:tmpl w:val="F4146DBA"/>
    <w:lvl w:ilvl="0" w:tplc="0554E77A">
      <w:start w:val="1"/>
      <w:numFmt w:val="bullet"/>
      <w:lvlText w:val="-"/>
      <w:lvlJc w:val="left"/>
      <w:pPr>
        <w:ind w:left="1069" w:hanging="360"/>
      </w:pPr>
      <w:rPr>
        <w:rFonts w:ascii="Arial" w:eastAsiaTheme="minorHAnsi" w:hAnsi="Arial" w:cs="Aria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6"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19425D1"/>
    <w:multiLevelType w:val="hybridMultilevel"/>
    <w:tmpl w:val="077EBAF6"/>
    <w:lvl w:ilvl="0" w:tplc="CA665B2C">
      <w:start w:val="4"/>
      <w:numFmt w:val="bullet"/>
      <w:lvlText w:val="-"/>
      <w:lvlJc w:val="left"/>
      <w:pPr>
        <w:ind w:left="1776" w:hanging="360"/>
      </w:pPr>
      <w:rPr>
        <w:rFonts w:ascii="Arial" w:eastAsiaTheme="minorHAnsi" w:hAnsi="Arial" w:cs="Aria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10"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2BE0305"/>
    <w:multiLevelType w:val="hybridMultilevel"/>
    <w:tmpl w:val="15A4A63E"/>
    <w:lvl w:ilvl="0" w:tplc="C47E871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7E230EA"/>
    <w:multiLevelType w:val="hybridMultilevel"/>
    <w:tmpl w:val="2D5C8CD4"/>
    <w:lvl w:ilvl="0" w:tplc="1FC426AE">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88E05D6"/>
    <w:multiLevelType w:val="hybridMultilevel"/>
    <w:tmpl w:val="D66C6530"/>
    <w:lvl w:ilvl="0" w:tplc="7F5A142A">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6"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0676C2F"/>
    <w:multiLevelType w:val="hybridMultilevel"/>
    <w:tmpl w:val="64663AE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3455D59"/>
    <w:multiLevelType w:val="hybridMultilevel"/>
    <w:tmpl w:val="FF0AE012"/>
    <w:lvl w:ilvl="0" w:tplc="BBDA4B6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9561A9E"/>
    <w:multiLevelType w:val="hybridMultilevel"/>
    <w:tmpl w:val="A8D216B8"/>
    <w:lvl w:ilvl="0" w:tplc="0C62909A">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AFB395C"/>
    <w:multiLevelType w:val="hybridMultilevel"/>
    <w:tmpl w:val="E71E2F66"/>
    <w:lvl w:ilvl="0" w:tplc="C1C8CA28">
      <w:start w:val="1"/>
      <w:numFmt w:val="upperRoman"/>
      <w:pStyle w:val="berschrift3"/>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4"/>
  </w:num>
  <w:num w:numId="5">
    <w:abstractNumId w:val="16"/>
  </w:num>
  <w:num w:numId="6">
    <w:abstractNumId w:val="21"/>
  </w:num>
  <w:num w:numId="7">
    <w:abstractNumId w:val="6"/>
  </w:num>
  <w:num w:numId="8">
    <w:abstractNumId w:val="0"/>
  </w:num>
  <w:num w:numId="9">
    <w:abstractNumId w:val="0"/>
  </w:num>
  <w:num w:numId="10">
    <w:abstractNumId w:val="10"/>
  </w:num>
  <w:num w:numId="11">
    <w:abstractNumId w:val="19"/>
  </w:num>
  <w:num w:numId="12">
    <w:abstractNumId w:val="8"/>
  </w:num>
  <w:num w:numId="13">
    <w:abstractNumId w:val="0"/>
  </w:num>
  <w:num w:numId="14">
    <w:abstractNumId w:val="0"/>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18"/>
  </w:num>
  <w:num w:numId="20">
    <w:abstractNumId w:val="12"/>
  </w:num>
  <w:num w:numId="21">
    <w:abstractNumId w:val="7"/>
  </w:num>
  <w:num w:numId="22">
    <w:abstractNumId w:val="18"/>
    <w:lvlOverride w:ilvl="0">
      <w:startOverride w:val="1"/>
    </w:lvlOverride>
  </w:num>
  <w:num w:numId="23">
    <w:abstractNumId w:val="18"/>
    <w:lvlOverride w:ilvl="0">
      <w:startOverride w:val="5"/>
    </w:lvlOverride>
  </w:num>
  <w:num w:numId="24">
    <w:abstractNumId w:val="4"/>
  </w:num>
  <w:num w:numId="25">
    <w:abstractNumId w:val="22"/>
  </w:num>
  <w:num w:numId="26">
    <w:abstractNumId w:val="17"/>
  </w:num>
  <w:num w:numId="27">
    <w:abstractNumId w:val="9"/>
  </w:num>
  <w:num w:numId="28">
    <w:abstractNumId w:val="1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F"/>
    <w:rsid w:val="000135F7"/>
    <w:rsid w:val="00020650"/>
    <w:rsid w:val="0002603E"/>
    <w:rsid w:val="00110DDC"/>
    <w:rsid w:val="00141229"/>
    <w:rsid w:val="001433B8"/>
    <w:rsid w:val="00154C10"/>
    <w:rsid w:val="001C33A2"/>
    <w:rsid w:val="001E63AE"/>
    <w:rsid w:val="00252095"/>
    <w:rsid w:val="00261BA2"/>
    <w:rsid w:val="002A0AE9"/>
    <w:rsid w:val="002F7A6B"/>
    <w:rsid w:val="002F7B83"/>
    <w:rsid w:val="003611BA"/>
    <w:rsid w:val="0036258E"/>
    <w:rsid w:val="00376352"/>
    <w:rsid w:val="0039271A"/>
    <w:rsid w:val="00393F38"/>
    <w:rsid w:val="00396D6C"/>
    <w:rsid w:val="003A6E75"/>
    <w:rsid w:val="003A7B39"/>
    <w:rsid w:val="003D2115"/>
    <w:rsid w:val="003D365A"/>
    <w:rsid w:val="0040005C"/>
    <w:rsid w:val="004035FB"/>
    <w:rsid w:val="00406E2F"/>
    <w:rsid w:val="00442A74"/>
    <w:rsid w:val="0045115D"/>
    <w:rsid w:val="004802A5"/>
    <w:rsid w:val="004F01DC"/>
    <w:rsid w:val="00500A1C"/>
    <w:rsid w:val="00572DEF"/>
    <w:rsid w:val="00577996"/>
    <w:rsid w:val="00586CCB"/>
    <w:rsid w:val="00592E24"/>
    <w:rsid w:val="00595F04"/>
    <w:rsid w:val="005A2E75"/>
    <w:rsid w:val="005B198B"/>
    <w:rsid w:val="005B53B5"/>
    <w:rsid w:val="005D0675"/>
    <w:rsid w:val="005E4A2F"/>
    <w:rsid w:val="005F3685"/>
    <w:rsid w:val="005F51AD"/>
    <w:rsid w:val="00617440"/>
    <w:rsid w:val="006253AA"/>
    <w:rsid w:val="0064542E"/>
    <w:rsid w:val="00672757"/>
    <w:rsid w:val="0067484A"/>
    <w:rsid w:val="006815D9"/>
    <w:rsid w:val="006B5904"/>
    <w:rsid w:val="006C4F0C"/>
    <w:rsid w:val="006D1F20"/>
    <w:rsid w:val="006F6B93"/>
    <w:rsid w:val="00711156"/>
    <w:rsid w:val="00736FCD"/>
    <w:rsid w:val="00740201"/>
    <w:rsid w:val="007526F8"/>
    <w:rsid w:val="00754248"/>
    <w:rsid w:val="007739D7"/>
    <w:rsid w:val="007B08FA"/>
    <w:rsid w:val="007B4F03"/>
    <w:rsid w:val="007E0B71"/>
    <w:rsid w:val="007F455D"/>
    <w:rsid w:val="0084755F"/>
    <w:rsid w:val="00860666"/>
    <w:rsid w:val="00867011"/>
    <w:rsid w:val="00893E86"/>
    <w:rsid w:val="008C1FB6"/>
    <w:rsid w:val="0091730A"/>
    <w:rsid w:val="009513FC"/>
    <w:rsid w:val="009A657A"/>
    <w:rsid w:val="009D4561"/>
    <w:rsid w:val="009F3960"/>
    <w:rsid w:val="009F3D96"/>
    <w:rsid w:val="00A01F99"/>
    <w:rsid w:val="00A21116"/>
    <w:rsid w:val="00A57D3A"/>
    <w:rsid w:val="00A77A77"/>
    <w:rsid w:val="00A85872"/>
    <w:rsid w:val="00AC45FE"/>
    <w:rsid w:val="00AD25D9"/>
    <w:rsid w:val="00AD466C"/>
    <w:rsid w:val="00AE0CF5"/>
    <w:rsid w:val="00AE2554"/>
    <w:rsid w:val="00AF5913"/>
    <w:rsid w:val="00B34EB7"/>
    <w:rsid w:val="00B50460"/>
    <w:rsid w:val="00B96B86"/>
    <w:rsid w:val="00BE5561"/>
    <w:rsid w:val="00C12274"/>
    <w:rsid w:val="00C379D0"/>
    <w:rsid w:val="00C37F5D"/>
    <w:rsid w:val="00C40A72"/>
    <w:rsid w:val="00C95001"/>
    <w:rsid w:val="00CA1C8E"/>
    <w:rsid w:val="00CB3C2E"/>
    <w:rsid w:val="00CD23A2"/>
    <w:rsid w:val="00CD4FDF"/>
    <w:rsid w:val="00CF10B3"/>
    <w:rsid w:val="00D24914"/>
    <w:rsid w:val="00D25AAC"/>
    <w:rsid w:val="00D66776"/>
    <w:rsid w:val="00D910AB"/>
    <w:rsid w:val="00DB2870"/>
    <w:rsid w:val="00DC1DA1"/>
    <w:rsid w:val="00DE713F"/>
    <w:rsid w:val="00DF6FAC"/>
    <w:rsid w:val="00E37836"/>
    <w:rsid w:val="00E5691C"/>
    <w:rsid w:val="00E56E04"/>
    <w:rsid w:val="00EA7578"/>
    <w:rsid w:val="00EB5840"/>
    <w:rsid w:val="00EF633C"/>
    <w:rsid w:val="00F04565"/>
    <w:rsid w:val="00F25973"/>
    <w:rsid w:val="00F42E89"/>
    <w:rsid w:val="00F50D37"/>
    <w:rsid w:val="00F80BA5"/>
    <w:rsid w:val="00FD5D9A"/>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4:docId w14:val="512A44B9"/>
  <w15:docId w15:val="{325A59A3-BF66-4F19-ABCE-7B410F8F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it-CH"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02A5"/>
    <w:pPr>
      <w:spacing w:after="180" w:line="312" w:lineRule="auto"/>
      <w:jc w:val="center"/>
      <w:outlineLvl w:val="1"/>
    </w:pPr>
    <w:rPr>
      <w:rFonts w:ascii="Arial" w:eastAsiaTheme="minorHAnsi" w:hAnsi="Arial" w:cs="Arial"/>
      <w:sz w:val="22"/>
      <w:szCs w:val="36"/>
      <w:lang w:eastAsia="en-US"/>
    </w:rPr>
  </w:style>
  <w:style w:type="paragraph" w:styleId="berschrift1">
    <w:name w:val="heading 1"/>
    <w:basedOn w:val="Standard"/>
    <w:next w:val="Standard"/>
    <w:link w:val="berschrift1Zchn"/>
    <w:autoRedefine/>
    <w:uiPriority w:val="9"/>
    <w:qFormat/>
    <w:rsid w:val="00617440"/>
    <w:pPr>
      <w:spacing w:before="840" w:after="600"/>
      <w:outlineLvl w:val="0"/>
    </w:pPr>
    <w:rPr>
      <w:b/>
      <w:sz w:val="40"/>
      <w:szCs w:val="40"/>
    </w:rPr>
  </w:style>
  <w:style w:type="paragraph" w:styleId="berschrift2">
    <w:name w:val="heading 2"/>
    <w:basedOn w:val="berschrift1"/>
    <w:next w:val="Standard"/>
    <w:link w:val="berschrift2Zchn"/>
    <w:autoRedefine/>
    <w:qFormat/>
    <w:rsid w:val="006D1F20"/>
    <w:pPr>
      <w:outlineLvl w:val="1"/>
    </w:pPr>
    <w:rPr>
      <w:sz w:val="36"/>
      <w:szCs w:val="36"/>
    </w:rPr>
  </w:style>
  <w:style w:type="paragraph" w:styleId="berschrift3">
    <w:name w:val="heading 3"/>
    <w:basedOn w:val="berschrift1"/>
    <w:next w:val="Standard"/>
    <w:link w:val="berschrift3Zchn"/>
    <w:autoRedefine/>
    <w:qFormat/>
    <w:rsid w:val="0040005C"/>
    <w:pPr>
      <w:numPr>
        <w:numId w:val="25"/>
      </w:numPr>
      <w:spacing w:before="720" w:after="480"/>
      <w:jc w:val="left"/>
      <w:outlineLvl w:val="2"/>
    </w:pPr>
    <w:rPr>
      <w:sz w:val="32"/>
      <w:szCs w:val="32"/>
    </w:rPr>
  </w:style>
  <w:style w:type="paragraph" w:styleId="berschrift4">
    <w:name w:val="heading 4"/>
    <w:basedOn w:val="berschrift2"/>
    <w:next w:val="Standard"/>
    <w:link w:val="berschrift4Zchn"/>
    <w:autoRedefine/>
    <w:unhideWhenUsed/>
    <w:qFormat/>
    <w:rsid w:val="006B5904"/>
    <w:pPr>
      <w:keepNext/>
      <w:spacing w:before="480" w:after="360"/>
      <w:jc w:val="left"/>
      <w:outlineLvl w:val="3"/>
    </w:pPr>
    <w:rPr>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11156"/>
    <w:pPr>
      <w:tabs>
        <w:tab w:val="center" w:pos="4536"/>
        <w:tab w:val="right" w:pos="9072"/>
      </w:tabs>
      <w:spacing w:after="0"/>
      <w:jc w:val="right"/>
    </w:pPr>
    <w:rPr>
      <w:sz w:val="16"/>
      <w:szCs w:val="16"/>
    </w:rPr>
  </w:style>
  <w:style w:type="paragraph" w:styleId="Fuzeile">
    <w:name w:val="footer"/>
    <w:basedOn w:val="Funotentext"/>
    <w:link w:val="FuzeileZchn"/>
    <w:rsid w:val="0040005C"/>
    <w:pPr>
      <w:spacing w:after="120" w:line="240" w:lineRule="auto"/>
    </w:pPr>
    <w:rPr>
      <w:sz w:val="18"/>
      <w:szCs w:val="18"/>
    </w:rPr>
  </w:style>
  <w:style w:type="paragraph" w:styleId="Funotentext">
    <w:name w:val="footnote text"/>
    <w:basedOn w:val="Standard"/>
    <w:autoRedefine/>
    <w:semiHidden/>
    <w:rsid w:val="00EA7578"/>
    <w:pPr>
      <w:jc w:val="left"/>
    </w:pPr>
    <w:rPr>
      <w:sz w:val="20"/>
    </w:rPr>
  </w:style>
  <w:style w:type="paragraph" w:styleId="Listenabsatz">
    <w:name w:val="List Paragraph"/>
    <w:basedOn w:val="Standard"/>
    <w:uiPriority w:val="34"/>
    <w:qFormat/>
    <w:rsid w:val="00572DEF"/>
    <w:pPr>
      <w:spacing w:after="0" w:line="240" w:lineRule="auto"/>
      <w:ind w:left="720"/>
    </w:pPr>
    <w:rPr>
      <w:rFonts w:ascii="Calibri" w:hAnsi="Calibri"/>
    </w:rPr>
  </w:style>
  <w:style w:type="character" w:customStyle="1" w:styleId="berschrift2Zchn">
    <w:name w:val="Überschrift 2 Zchn"/>
    <w:basedOn w:val="Absatz-Standardschriftart"/>
    <w:link w:val="berschrift2"/>
    <w:rsid w:val="006D1F20"/>
    <w:rPr>
      <w:rFonts w:ascii="Arial" w:eastAsiaTheme="minorHAnsi" w:hAnsi="Arial" w:cs="Arial"/>
      <w:b/>
      <w:sz w:val="36"/>
      <w:szCs w:val="36"/>
      <w:lang w:val="it-CH" w:eastAsia="en-US"/>
    </w:rPr>
  </w:style>
  <w:style w:type="character" w:customStyle="1" w:styleId="berschrift3Zchn">
    <w:name w:val="Überschrift 3 Zchn"/>
    <w:basedOn w:val="Absatz-Standardschriftart"/>
    <w:link w:val="berschrift3"/>
    <w:rsid w:val="0040005C"/>
    <w:rPr>
      <w:rFonts w:ascii="Arial" w:eastAsiaTheme="minorHAnsi" w:hAnsi="Arial" w:cs="Arial"/>
      <w:b/>
      <w:sz w:val="32"/>
      <w:szCs w:val="32"/>
      <w:lang w:val="it-CH" w:eastAsia="en-US"/>
    </w:rPr>
  </w:style>
  <w:style w:type="character" w:customStyle="1" w:styleId="berschrift4Zchn">
    <w:name w:val="Überschrift 4 Zchn"/>
    <w:basedOn w:val="Absatz-Standardschriftart"/>
    <w:link w:val="berschrift4"/>
    <w:rsid w:val="006B5904"/>
    <w:rPr>
      <w:rFonts w:ascii="Arial" w:eastAsiaTheme="minorHAnsi" w:hAnsi="Arial" w:cs="Arial"/>
      <w:b/>
      <w:sz w:val="28"/>
      <w:szCs w:val="28"/>
      <w:lang w:val="it-CH"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Standard"/>
    <w:autoRedefine/>
    <w:qFormat/>
    <w:rsid w:val="00D25AAC"/>
    <w:pPr>
      <w:pBdr>
        <w:left w:val="single" w:sz="18" w:space="10" w:color="697F91"/>
      </w:pBdr>
      <w:tabs>
        <w:tab w:val="left" w:pos="142"/>
        <w:tab w:val="left" w:pos="851"/>
      </w:tabs>
      <w:ind w:left="1304"/>
    </w:pPr>
    <w:rPr>
      <w:lang w:eastAsia="fr-FR"/>
    </w:rPr>
  </w:style>
  <w:style w:type="character" w:customStyle="1" w:styleId="berschrift5Zchn">
    <w:name w:val="Überschrift 5 Zchn"/>
    <w:basedOn w:val="Absatz-Standardschriftart"/>
    <w:link w:val="berschrift5"/>
    <w:rsid w:val="00D25AAC"/>
    <w:rPr>
      <w:rFonts w:ascii="Verdana" w:hAnsi="Verdana"/>
      <w:i/>
      <w:sz w:val="18"/>
      <w:lang w:val="it-CH" w:eastAsia="de-CH"/>
    </w:rPr>
  </w:style>
  <w:style w:type="character" w:customStyle="1" w:styleId="berschrift1Zchn">
    <w:name w:val="Überschrift 1 Zchn"/>
    <w:basedOn w:val="Absatz-Standardschriftart"/>
    <w:link w:val="berschrift1"/>
    <w:uiPriority w:val="9"/>
    <w:rsid w:val="00617440"/>
    <w:rPr>
      <w:rFonts w:ascii="Arial" w:eastAsiaTheme="minorHAnsi" w:hAnsi="Arial" w:cs="Arial"/>
      <w:b/>
      <w:sz w:val="40"/>
      <w:szCs w:val="40"/>
      <w:lang w:val="it-CH" w:eastAsia="en-US"/>
    </w:rPr>
  </w:style>
  <w:style w:type="paragraph" w:customStyle="1" w:styleId="Haupttext">
    <w:name w:val="Haupttext"/>
    <w:basedOn w:val="Standard"/>
    <w:qFormat/>
    <w:rsid w:val="00617440"/>
    <w:pPr>
      <w:numPr>
        <w:numId w:val="24"/>
      </w:numPr>
      <w:ind w:left="709" w:hanging="709"/>
      <w:jc w:val="both"/>
    </w:pPr>
  </w:style>
  <w:style w:type="character" w:customStyle="1" w:styleId="KopfzeileZchn">
    <w:name w:val="Kopfzeile Zchn"/>
    <w:basedOn w:val="Absatz-Standardschriftart"/>
    <w:link w:val="Kopfzeile"/>
    <w:uiPriority w:val="99"/>
    <w:rsid w:val="00711156"/>
    <w:rPr>
      <w:rFonts w:ascii="Arial" w:eastAsiaTheme="minorHAnsi" w:hAnsi="Arial" w:cs="Arial"/>
      <w:sz w:val="16"/>
      <w:szCs w:val="16"/>
      <w:lang w:val="it-CH" w:eastAsia="en-US"/>
    </w:rPr>
  </w:style>
  <w:style w:type="character" w:styleId="Seitenzahl">
    <w:name w:val="page number"/>
    <w:basedOn w:val="Absatz-Standardschriftart"/>
    <w:rsid w:val="00154C10"/>
  </w:style>
  <w:style w:type="character" w:customStyle="1" w:styleId="FuzeileZchn">
    <w:name w:val="Fußzeile Zchn"/>
    <w:basedOn w:val="Absatz-Standardschriftart"/>
    <w:link w:val="Fuzeile"/>
    <w:rsid w:val="0040005C"/>
    <w:rPr>
      <w:rFonts w:ascii="Arial" w:eastAsiaTheme="minorHAnsi" w:hAnsi="Arial" w:cs="Arial"/>
      <w:sz w:val="18"/>
      <w:szCs w:val="18"/>
      <w:lang w:val="it-CH" w:eastAsia="en-US"/>
    </w:rPr>
  </w:style>
  <w:style w:type="paragraph" w:customStyle="1" w:styleId="Text">
    <w:name w:val="Text"/>
    <w:rsid w:val="00154C10"/>
    <w:pPr>
      <w:spacing w:line="328" w:lineRule="atLeast"/>
      <w:jc w:val="both"/>
    </w:pPr>
    <w:rPr>
      <w:rFonts w:ascii="QTOptimum" w:hAnsi="QTOptimum"/>
      <w:snapToGrid w:val="0"/>
      <w:color w:val="000000"/>
      <w:lang w:eastAsia="de-DE"/>
    </w:rPr>
  </w:style>
  <w:style w:type="paragraph" w:styleId="Sprechblasentext">
    <w:name w:val="Balloon Text"/>
    <w:basedOn w:val="Standard"/>
    <w:link w:val="SprechblasentextZchn"/>
    <w:semiHidden/>
    <w:unhideWhenUsed/>
    <w:rsid w:val="008670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867011"/>
    <w:rPr>
      <w:rFonts w:ascii="Segoe UI" w:eastAsiaTheme="minorHAnsi" w:hAnsi="Segoe UI" w:cs="Segoe UI"/>
      <w:sz w:val="18"/>
      <w:szCs w:val="18"/>
      <w:lang w:val="it-CH" w:eastAsia="en-US"/>
    </w:rPr>
  </w:style>
  <w:style w:type="character" w:styleId="Funotenzeichen">
    <w:name w:val="footnote reference"/>
    <w:basedOn w:val="Absatz-Standardschriftart"/>
    <w:semiHidden/>
    <w:unhideWhenUsed/>
    <w:rsid w:val="00617440"/>
    <w:rPr>
      <w:vertAlign w:val="superscript"/>
    </w:rPr>
  </w:style>
  <w:style w:type="paragraph" w:customStyle="1" w:styleId="hinweis">
    <w:name w:val="hinweis"/>
    <w:basedOn w:val="Fuzeile"/>
    <w:qFormat/>
    <w:rsid w:val="00141229"/>
    <w:pPr>
      <w:pBdr>
        <w:top w:val="single" w:sz="4" w:space="1" w:color="auto"/>
        <w:left w:val="single" w:sz="4" w:space="4" w:color="auto"/>
        <w:bottom w:val="single" w:sz="4" w:space="1" w:color="auto"/>
        <w:right w:val="single" w:sz="4" w:space="4" w:color="auto"/>
      </w:pBdr>
      <w:spacing w:line="260" w:lineRule="atLeas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866021161">
      <w:bodyDiv w:val="1"/>
      <w:marLeft w:val="0"/>
      <w:marRight w:val="0"/>
      <w:marTop w:val="0"/>
      <w:marBottom w:val="0"/>
      <w:divBdr>
        <w:top w:val="none" w:sz="0" w:space="0" w:color="auto"/>
        <w:left w:val="none" w:sz="0" w:space="0" w:color="auto"/>
        <w:bottom w:val="none" w:sz="0" w:space="0" w:color="auto"/>
        <w:right w:val="none" w:sz="0" w:space="0" w:color="auto"/>
      </w:divBdr>
      <w:divsChild>
        <w:div w:id="1077094225">
          <w:marLeft w:val="0"/>
          <w:marRight w:val="0"/>
          <w:marTop w:val="0"/>
          <w:marBottom w:val="0"/>
          <w:divBdr>
            <w:top w:val="none" w:sz="0" w:space="0" w:color="auto"/>
            <w:left w:val="none" w:sz="0" w:space="0" w:color="auto"/>
            <w:bottom w:val="none" w:sz="0" w:space="0" w:color="auto"/>
            <w:right w:val="none" w:sz="0" w:space="0" w:color="auto"/>
          </w:divBdr>
          <w:divsChild>
            <w:div w:id="2106919648">
              <w:marLeft w:val="0"/>
              <w:marRight w:val="0"/>
              <w:marTop w:val="0"/>
              <w:marBottom w:val="0"/>
              <w:divBdr>
                <w:top w:val="none" w:sz="0" w:space="0" w:color="auto"/>
                <w:left w:val="none" w:sz="0" w:space="0" w:color="auto"/>
                <w:bottom w:val="none" w:sz="0" w:space="0" w:color="auto"/>
                <w:right w:val="none" w:sz="0" w:space="0" w:color="auto"/>
              </w:divBdr>
              <w:divsChild>
                <w:div w:id="245309299">
                  <w:marLeft w:val="0"/>
                  <w:marRight w:val="0"/>
                  <w:marTop w:val="0"/>
                  <w:marBottom w:val="0"/>
                  <w:divBdr>
                    <w:top w:val="none" w:sz="0" w:space="0" w:color="auto"/>
                    <w:left w:val="none" w:sz="0" w:space="0" w:color="auto"/>
                    <w:bottom w:val="none" w:sz="0" w:space="0" w:color="auto"/>
                    <w:right w:val="none" w:sz="0" w:space="0" w:color="auto"/>
                  </w:divBdr>
                  <w:divsChild>
                    <w:div w:id="1404716534">
                      <w:marLeft w:val="0"/>
                      <w:marRight w:val="0"/>
                      <w:marTop w:val="0"/>
                      <w:marBottom w:val="0"/>
                      <w:divBdr>
                        <w:top w:val="none" w:sz="0" w:space="0" w:color="auto"/>
                        <w:left w:val="none" w:sz="0" w:space="0" w:color="auto"/>
                        <w:bottom w:val="none" w:sz="0" w:space="0" w:color="auto"/>
                        <w:right w:val="none" w:sz="0" w:space="0" w:color="auto"/>
                      </w:divBdr>
                      <w:divsChild>
                        <w:div w:id="1766995490">
                          <w:marLeft w:val="0"/>
                          <w:marRight w:val="0"/>
                          <w:marTop w:val="0"/>
                          <w:marBottom w:val="0"/>
                          <w:divBdr>
                            <w:top w:val="none" w:sz="0" w:space="0" w:color="auto"/>
                            <w:left w:val="none" w:sz="0" w:space="0" w:color="auto"/>
                            <w:bottom w:val="none" w:sz="0" w:space="0" w:color="auto"/>
                            <w:right w:val="none" w:sz="0" w:space="0" w:color="auto"/>
                          </w:divBdr>
                          <w:divsChild>
                            <w:div w:id="1040475312">
                              <w:marLeft w:val="0"/>
                              <w:marRight w:val="0"/>
                              <w:marTop w:val="0"/>
                              <w:marBottom w:val="0"/>
                              <w:divBdr>
                                <w:top w:val="none" w:sz="0" w:space="0" w:color="auto"/>
                                <w:left w:val="none" w:sz="0" w:space="0" w:color="auto"/>
                                <w:bottom w:val="none" w:sz="0" w:space="0" w:color="auto"/>
                                <w:right w:val="none" w:sz="0" w:space="0" w:color="auto"/>
                              </w:divBdr>
                              <w:divsChild>
                                <w:div w:id="24797182">
                                  <w:marLeft w:val="0"/>
                                  <w:marRight w:val="0"/>
                                  <w:marTop w:val="0"/>
                                  <w:marBottom w:val="0"/>
                                  <w:divBdr>
                                    <w:top w:val="none" w:sz="0" w:space="0" w:color="auto"/>
                                    <w:left w:val="none" w:sz="0" w:space="0" w:color="auto"/>
                                    <w:bottom w:val="none" w:sz="0" w:space="0" w:color="auto"/>
                                    <w:right w:val="none" w:sz="0" w:space="0" w:color="auto"/>
                                  </w:divBdr>
                                  <w:divsChild>
                                    <w:div w:id="156653644">
                                      <w:marLeft w:val="0"/>
                                      <w:marRight w:val="0"/>
                                      <w:marTop w:val="0"/>
                                      <w:marBottom w:val="0"/>
                                      <w:divBdr>
                                        <w:top w:val="none" w:sz="0" w:space="0" w:color="auto"/>
                                        <w:left w:val="none" w:sz="0" w:space="0" w:color="auto"/>
                                        <w:bottom w:val="none" w:sz="0" w:space="0" w:color="auto"/>
                                        <w:right w:val="none" w:sz="0" w:space="0" w:color="auto"/>
                                      </w:divBdr>
                                      <w:divsChild>
                                        <w:div w:id="1352606402">
                                          <w:marLeft w:val="0"/>
                                          <w:marRight w:val="0"/>
                                          <w:marTop w:val="0"/>
                                          <w:marBottom w:val="0"/>
                                          <w:divBdr>
                                            <w:top w:val="none" w:sz="0" w:space="0" w:color="auto"/>
                                            <w:left w:val="none" w:sz="0" w:space="0" w:color="auto"/>
                                            <w:bottom w:val="none" w:sz="0" w:space="0" w:color="auto"/>
                                            <w:right w:val="none" w:sz="0" w:space="0" w:color="auto"/>
                                          </w:divBdr>
                                          <w:divsChild>
                                            <w:div w:id="2086149364">
                                              <w:marLeft w:val="165"/>
                                              <w:marRight w:val="0"/>
                                              <w:marTop w:val="0"/>
                                              <w:marBottom w:val="0"/>
                                              <w:divBdr>
                                                <w:top w:val="none" w:sz="0" w:space="0" w:color="auto"/>
                                                <w:left w:val="none" w:sz="0" w:space="0" w:color="auto"/>
                                                <w:bottom w:val="none" w:sz="0" w:space="0" w:color="auto"/>
                                                <w:right w:val="none" w:sz="0" w:space="0" w:color="auto"/>
                                              </w:divBdr>
                                              <w:divsChild>
                                                <w:div w:id="471603415">
                                                  <w:marLeft w:val="0"/>
                                                  <w:marRight w:val="0"/>
                                                  <w:marTop w:val="180"/>
                                                  <w:marBottom w:val="0"/>
                                                  <w:divBdr>
                                                    <w:top w:val="none" w:sz="0" w:space="0" w:color="auto"/>
                                                    <w:left w:val="none" w:sz="0" w:space="0" w:color="auto"/>
                                                    <w:bottom w:val="none" w:sz="0" w:space="0" w:color="auto"/>
                                                    <w:right w:val="none" w:sz="0" w:space="0" w:color="auto"/>
                                                  </w:divBdr>
                                                  <w:divsChild>
                                                    <w:div w:id="787235725">
                                                      <w:marLeft w:val="0"/>
                                                      <w:marRight w:val="0"/>
                                                      <w:marTop w:val="0"/>
                                                      <w:marBottom w:val="0"/>
                                                      <w:divBdr>
                                                        <w:top w:val="none" w:sz="0" w:space="0" w:color="auto"/>
                                                        <w:left w:val="none" w:sz="0" w:space="0" w:color="auto"/>
                                                        <w:bottom w:val="none" w:sz="0" w:space="0" w:color="auto"/>
                                                        <w:right w:val="none" w:sz="0" w:space="0" w:color="auto"/>
                                                      </w:divBdr>
                                                      <w:divsChild>
                                                        <w:div w:id="815493496">
                                                          <w:marLeft w:val="0"/>
                                                          <w:marRight w:val="0"/>
                                                          <w:marTop w:val="180"/>
                                                          <w:marBottom w:val="0"/>
                                                          <w:divBdr>
                                                            <w:top w:val="none" w:sz="0" w:space="0" w:color="auto"/>
                                                            <w:left w:val="none" w:sz="0" w:space="0" w:color="auto"/>
                                                            <w:bottom w:val="none" w:sz="0" w:space="0" w:color="auto"/>
                                                            <w:right w:val="none" w:sz="0" w:space="0" w:color="auto"/>
                                                          </w:divBdr>
                                                          <w:divsChild>
                                                            <w:div w:id="1535773668">
                                                              <w:marLeft w:val="180"/>
                                                              <w:marRight w:val="0"/>
                                                              <w:marTop w:val="180"/>
                                                              <w:marBottom w:val="180"/>
                                                              <w:divBdr>
                                                                <w:top w:val="none" w:sz="0" w:space="0" w:color="auto"/>
                                                                <w:left w:val="none" w:sz="0" w:space="0" w:color="auto"/>
                                                                <w:bottom w:val="none" w:sz="0" w:space="0" w:color="auto"/>
                                                                <w:right w:val="none" w:sz="0" w:space="0" w:color="auto"/>
                                                              </w:divBdr>
                                                              <w:divsChild>
                                                                <w:div w:id="257179158">
                                                                  <w:marLeft w:val="0"/>
                                                                  <w:marRight w:val="0"/>
                                                                  <w:marTop w:val="0"/>
                                                                  <w:marBottom w:val="0"/>
                                                                  <w:divBdr>
                                                                    <w:top w:val="none" w:sz="0" w:space="0" w:color="auto"/>
                                                                    <w:left w:val="none" w:sz="0" w:space="0" w:color="auto"/>
                                                                    <w:bottom w:val="none" w:sz="0" w:space="0" w:color="auto"/>
                                                                    <w:right w:val="none" w:sz="0" w:space="0" w:color="auto"/>
                                                                  </w:divBdr>
                                                                  <w:divsChild>
                                                                    <w:div w:id="9860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1CDA-FB9D-4110-A62A-CCDB094A6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5F96F-70AF-485C-BB9B-C195EF87948C}">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3.xml><?xml version="1.0" encoding="utf-8"?>
<ds:datastoreItem xmlns:ds="http://schemas.openxmlformats.org/officeDocument/2006/customXml" ds:itemID="{005DD2A6-A3DF-4617-BDA9-39A443E8686A}">
  <ds:schemaRefs>
    <ds:schemaRef ds:uri="http://schemas.microsoft.com/sharepoint/v3/contenttype/forms"/>
  </ds:schemaRefs>
</ds:datastoreItem>
</file>

<file path=customXml/itemProps4.xml><?xml version="1.0" encoding="utf-8"?>
<ds:datastoreItem xmlns:ds="http://schemas.openxmlformats.org/officeDocument/2006/customXml" ds:itemID="{57321CEF-9E08-41F3-8C80-354E420E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4</Pages>
  <Words>530</Words>
  <Characters>3085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Tassa sul plusvalore in caso di fattispecie di tassazione aggiuntive del Comune (art. 19j cpv. 2-3 LPTC, art. 35i OPTC)</dc:title>
  <dc:subject/>
  <dc:creator>Corina Caluori</dc:creator>
  <cp:keywords/>
  <dc:description/>
  <cp:lastModifiedBy>Cadosch Adrian</cp:lastModifiedBy>
  <cp:revision>4</cp:revision>
  <cp:lastPrinted>2019-10-21T12:38:00Z</cp:lastPrinted>
  <dcterms:created xsi:type="dcterms:W3CDTF">2023-02-01T06:28:00Z</dcterms:created>
  <dcterms:modified xsi:type="dcterms:W3CDTF">2024-12-03T07:21:00Z</dcterms:modified>
  <cp:category>In generale, rapporto di pianificazione e di partecipazione e accordi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