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56" w:rsidRDefault="00711156" w:rsidP="004802A5">
      <w:pPr>
        <w:pStyle w:val="berschrift1"/>
      </w:pPr>
      <w:r>
        <w:t>CUNVEGNA</w:t>
      </w:r>
    </w:p>
    <w:p w:rsidR="006253AA" w:rsidRPr="004802A5" w:rsidRDefault="00CB3C2E" w:rsidP="006D1F20">
      <w:pPr>
        <w:pStyle w:val="berschrift2"/>
      </w:pPr>
      <w:r>
        <w:t>Taxa da plivalur per avantatgs da planisaziun</w:t>
      </w:r>
      <w:r>
        <w:rPr>
          <w:rStyle w:val="Funotenzeichen"/>
        </w:rPr>
        <w:footnoteReference w:id="1"/>
      </w:r>
    </w:p>
    <w:p w:rsidR="00711156" w:rsidRDefault="00711156" w:rsidP="00711156"/>
    <w:p w:rsidR="004802A5" w:rsidRDefault="004802A5" w:rsidP="00711156"/>
    <w:p w:rsidR="00586CCB" w:rsidRDefault="00586CCB" w:rsidP="004802A5">
      <w:pPr>
        <w:jc w:val="left"/>
      </w:pPr>
      <w:r>
        <w:t>tranter</w:t>
      </w:r>
    </w:p>
    <w:p w:rsidR="004802A5" w:rsidRPr="00711156" w:rsidRDefault="004802A5" w:rsidP="004802A5">
      <w:pPr>
        <w:jc w:val="left"/>
      </w:pPr>
    </w:p>
    <w:p w:rsidR="004802A5" w:rsidRPr="00617440" w:rsidRDefault="00586CCB" w:rsidP="004802A5">
      <w:pPr>
        <w:jc w:val="left"/>
        <w:rPr>
          <w:b/>
          <w:sz w:val="24"/>
          <w:szCs w:val="24"/>
        </w:rPr>
      </w:pPr>
      <w:r>
        <w:rPr>
          <w:sz w:val="24"/>
          <w:szCs w:val="24"/>
        </w:rPr>
        <w:t xml:space="preserve">la </w:t>
      </w:r>
      <w:r>
        <w:rPr>
          <w:b/>
          <w:bCs/>
          <w:sz w:val="24"/>
          <w:szCs w:val="24"/>
        </w:rPr>
        <w:t>vischnanca politica [</w:t>
      </w:r>
      <w:r>
        <w:rPr>
          <w:b/>
          <w:bCs/>
          <w:sz w:val="24"/>
          <w:szCs w:val="24"/>
          <w:highlight w:val="lightGray"/>
        </w:rPr>
        <w:t>da/d'</w:t>
      </w:r>
      <w:r>
        <w:rPr>
          <w:b/>
          <w:bCs/>
          <w:sz w:val="24"/>
          <w:szCs w:val="24"/>
        </w:rPr>
        <w:t xml:space="preserve">] </w:t>
      </w:r>
      <w:r>
        <w:rPr>
          <w:b/>
          <w:sz w:val="24"/>
          <w:szCs w:val="24"/>
        </w:rPr>
        <w:t>[</w:t>
      </w:r>
      <w:r>
        <w:rPr>
          <w:b/>
          <w:sz w:val="24"/>
          <w:szCs w:val="24"/>
          <w:highlight w:val="lightGray"/>
        </w:rPr>
        <w:t>…</w:t>
      </w:r>
      <w:r>
        <w:rPr>
          <w:b/>
          <w:sz w:val="24"/>
          <w:szCs w:val="24"/>
        </w:rPr>
        <w:t>]</w:t>
      </w:r>
      <w:r>
        <w:rPr>
          <w:sz w:val="24"/>
          <w:szCs w:val="24"/>
        </w:rPr>
        <w:t>, [</w:t>
      </w:r>
      <w:r>
        <w:rPr>
          <w:sz w:val="24"/>
          <w:szCs w:val="24"/>
          <w:highlight w:val="lightGray"/>
        </w:rPr>
        <w:t>adressa</w:t>
      </w:r>
      <w:r>
        <w:rPr>
          <w:sz w:val="24"/>
          <w:szCs w:val="24"/>
        </w:rPr>
        <w:t>], represchentada en moda legalmain valaivla tras la suprastanza communala</w:t>
      </w:r>
      <w:r>
        <w:rPr>
          <w:b/>
          <w:sz w:val="24"/>
          <w:szCs w:val="24"/>
        </w:rPr>
        <w:t xml:space="preserve"> </w:t>
      </w:r>
    </w:p>
    <w:p w:rsidR="00586CCB" w:rsidRPr="00617440" w:rsidRDefault="00586CCB" w:rsidP="004802A5">
      <w:pPr>
        <w:jc w:val="right"/>
        <w:rPr>
          <w:b/>
          <w:sz w:val="24"/>
          <w:szCs w:val="24"/>
        </w:rPr>
      </w:pPr>
      <w:r>
        <w:rPr>
          <w:b/>
          <w:sz w:val="24"/>
          <w:szCs w:val="24"/>
        </w:rPr>
        <w:t>vischnanca</w:t>
      </w:r>
    </w:p>
    <w:p w:rsidR="00586CCB" w:rsidRPr="0036258E" w:rsidRDefault="00586CCB" w:rsidP="00711156"/>
    <w:p w:rsidR="00586CCB" w:rsidRDefault="004802A5" w:rsidP="004802A5">
      <w:pPr>
        <w:jc w:val="left"/>
      </w:pPr>
      <w:r>
        <w:t>e</w:t>
      </w:r>
    </w:p>
    <w:p w:rsidR="004802A5" w:rsidRPr="0036258E" w:rsidRDefault="004802A5" w:rsidP="004802A5">
      <w:pPr>
        <w:jc w:val="left"/>
      </w:pPr>
    </w:p>
    <w:p w:rsidR="00586CCB" w:rsidRPr="00617440" w:rsidRDefault="004802A5" w:rsidP="004802A5">
      <w:pPr>
        <w:jc w:val="left"/>
        <w:rPr>
          <w:sz w:val="24"/>
          <w:szCs w:val="24"/>
        </w:rPr>
      </w:pPr>
      <w:r>
        <w:rPr>
          <w:b/>
          <w:sz w:val="24"/>
          <w:szCs w:val="24"/>
        </w:rPr>
        <w:t xml:space="preserve">X </w:t>
      </w:r>
      <w:r>
        <w:rPr>
          <w:sz w:val="24"/>
          <w:szCs w:val="24"/>
        </w:rPr>
        <w:t>[proprietari(a)], [</w:t>
      </w:r>
      <w:r>
        <w:rPr>
          <w:sz w:val="24"/>
          <w:szCs w:val="24"/>
          <w:highlight w:val="lightGray"/>
        </w:rPr>
        <w:t>adressa</w:t>
      </w:r>
      <w:r>
        <w:rPr>
          <w:sz w:val="24"/>
          <w:szCs w:val="24"/>
        </w:rPr>
        <w:t>]</w:t>
      </w:r>
    </w:p>
    <w:p w:rsidR="00586CCB" w:rsidRPr="00617440" w:rsidRDefault="004802A5" w:rsidP="004802A5">
      <w:pPr>
        <w:jc w:val="right"/>
        <w:rPr>
          <w:b/>
          <w:sz w:val="24"/>
          <w:szCs w:val="24"/>
        </w:rPr>
      </w:pPr>
      <w:r>
        <w:rPr>
          <w:b/>
          <w:sz w:val="24"/>
          <w:szCs w:val="24"/>
        </w:rPr>
        <w:t xml:space="preserve">proprietari(a) </w:t>
      </w:r>
    </w:p>
    <w:p w:rsidR="00586CCB" w:rsidRPr="0036258E" w:rsidRDefault="00586CCB" w:rsidP="00711156"/>
    <w:p w:rsidR="00586CCB" w:rsidRPr="0036258E" w:rsidRDefault="00586CCB" w:rsidP="00711156"/>
    <w:p w:rsidR="00586CCB" w:rsidRPr="0036258E" w:rsidRDefault="00586CCB" w:rsidP="00711156"/>
    <w:p w:rsidR="004802A5" w:rsidRDefault="004802A5" w:rsidP="004802A5">
      <w:pPr>
        <w:jc w:val="left"/>
      </w:pPr>
      <w:r>
        <w:t>concernent</w:t>
      </w:r>
    </w:p>
    <w:p w:rsidR="004802A5" w:rsidRDefault="004802A5" w:rsidP="004802A5">
      <w:pPr>
        <w:jc w:val="left"/>
      </w:pPr>
    </w:p>
    <w:p w:rsidR="004802A5" w:rsidRPr="00617440" w:rsidRDefault="004802A5" w:rsidP="004802A5">
      <w:pPr>
        <w:jc w:val="left"/>
        <w:rPr>
          <w:sz w:val="24"/>
          <w:szCs w:val="24"/>
        </w:rPr>
      </w:pPr>
      <w:r>
        <w:rPr>
          <w:sz w:val="24"/>
          <w:szCs w:val="24"/>
        </w:rPr>
        <w:t>il bain immobigliar nr. [</w:t>
      </w:r>
      <w:r>
        <w:rPr>
          <w:sz w:val="24"/>
          <w:szCs w:val="24"/>
          <w:highlight w:val="lightGray"/>
        </w:rPr>
        <w:t>…</w:t>
      </w:r>
      <w:r>
        <w:rPr>
          <w:sz w:val="24"/>
          <w:szCs w:val="24"/>
        </w:rPr>
        <w:t>]</w:t>
      </w:r>
    </w:p>
    <w:p w:rsidR="00586CCB" w:rsidRPr="00617440" w:rsidRDefault="00A57D3A" w:rsidP="0040005C">
      <w:pPr>
        <w:pStyle w:val="berschrift3"/>
      </w:pPr>
      <w:r>
        <w:t>Situaziun da partenza</w:t>
      </w:r>
    </w:p>
    <w:p w:rsidR="001433B8" w:rsidRDefault="009F3D96" w:rsidP="00617440">
      <w:pPr>
        <w:pStyle w:val="Haupttext"/>
      </w:pPr>
      <w:r>
        <w:t>La vischnanca ha l'intenziun [</w:t>
      </w:r>
      <w:r>
        <w:rPr>
          <w:highlight w:val="lightGray"/>
        </w:rPr>
        <w:t>d'attribuir il bain immobigliar menziunà qua sutvart ad in'autra zona/ad ina zona da .../d'augmentar il grad d'utilisaziun dal bain immobigliar</w:t>
      </w:r>
      <w:r>
        <w:t xml:space="preserve">] </w:t>
      </w:r>
      <w:r w:rsidR="00617440">
        <w:rPr>
          <w:rStyle w:val="Funotenzeichen"/>
        </w:rPr>
        <w:footnoteReference w:id="2"/>
      </w:r>
      <w:r>
        <w:t>. Quai però mo sut la premissa ch'ils avantatgs colliads cun questa mesira da planisaziun vegnian indemnisads adequatamain.</w:t>
      </w:r>
    </w:p>
    <w:p w:rsidR="001433B8" w:rsidRDefault="001433B8" w:rsidP="00617440">
      <w:pPr>
        <w:pStyle w:val="Haupttext"/>
      </w:pPr>
      <w:r>
        <w:t>Per garantir questa premissa fixeschan las partidas la suandanta gulivaziun da la plivalur.</w:t>
      </w:r>
    </w:p>
    <w:p w:rsidR="009F3D96" w:rsidRPr="0036258E" w:rsidRDefault="009F3D96" w:rsidP="00617440">
      <w:pPr>
        <w:pStyle w:val="Haupttext"/>
      </w:pPr>
      <w:r>
        <w:t xml:space="preserve">La libertad da l'autoritad ch'è cumpetenta per las mesiras da planisaziun da decider en dumondas da la planisaziun na vegn restrenschida u na vegn pregiuditgada en nagina moda e maniera tras la cunvegna qua avant maun. Ina divergenza da la mesira da planisaziun previsa na motivescha cunzunt nagina pretensiun d'indemnisaziun d'ina moda u l'autra envers la vischnanca. </w:t>
      </w:r>
    </w:p>
    <w:p w:rsidR="00586CCB" w:rsidRPr="0036258E" w:rsidRDefault="007B4F03" w:rsidP="0040005C">
      <w:pPr>
        <w:pStyle w:val="berschrift3"/>
      </w:pPr>
      <w:r>
        <w:t>Cunvegna</w:t>
      </w:r>
    </w:p>
    <w:p w:rsidR="006253AA" w:rsidRPr="00EA7578" w:rsidRDefault="00EA7578" w:rsidP="006B5904">
      <w:pPr>
        <w:pStyle w:val="berschrift4"/>
      </w:pPr>
      <w:r>
        <w:t>1.</w:t>
      </w:r>
      <w:r>
        <w:tab/>
        <w:t>Cumpensaziun da la plivalur</w:t>
      </w:r>
    </w:p>
    <w:p w:rsidR="0002603E" w:rsidRDefault="0002603E" w:rsidP="00617440">
      <w:pPr>
        <w:pStyle w:val="Haupttext"/>
      </w:pPr>
      <w:r>
        <w:t>[</w:t>
      </w:r>
      <w:r>
        <w:rPr>
          <w:highlight w:val="lightGray"/>
        </w:rPr>
        <w:t>La proprietaria/Il proprietari</w:t>
      </w:r>
      <w:r>
        <w:t>] s'oblighescha da pajar ina gulivaziun a la vischnanca per indemnisar l'avantatg che resulta per il bain immobigliar nr. [</w:t>
      </w:r>
      <w:r>
        <w:rPr>
          <w:highlight w:val="lightGray"/>
        </w:rPr>
        <w:t>…</w:t>
      </w:r>
      <w:r>
        <w:t>], vischnanca [</w:t>
      </w:r>
      <w:r>
        <w:rPr>
          <w:highlight w:val="lightGray"/>
        </w:rPr>
        <w:t>da/d'</w:t>
      </w:r>
      <w:r>
        <w:t>] [</w:t>
      </w:r>
      <w:r>
        <w:rPr>
          <w:highlight w:val="lightGray"/>
        </w:rPr>
        <w:t>…</w:t>
      </w:r>
      <w:r>
        <w:t>], pervia da la mesira da planisaziun previsa.</w:t>
      </w:r>
    </w:p>
    <w:p w:rsidR="0002603E" w:rsidRDefault="0002603E" w:rsidP="00617440">
      <w:pPr>
        <w:pStyle w:val="Haupttext"/>
      </w:pPr>
      <w:r>
        <w:t>Il pajament da gulivaziun importa […] francs.</w:t>
      </w:r>
      <w:r>
        <w:rPr>
          <w:rStyle w:val="Funotenzeichen"/>
        </w:rPr>
        <w:footnoteReference w:id="3"/>
      </w:r>
    </w:p>
    <w:p w:rsidR="00D66776" w:rsidRDefault="00D66776" w:rsidP="00D66776">
      <w:pPr>
        <w:pStyle w:val="Haupttext"/>
        <w:numPr>
          <w:ilvl w:val="0"/>
          <w:numId w:val="0"/>
        </w:numPr>
      </w:pPr>
      <w:r>
        <w:t>[</w:t>
      </w:r>
      <w:r>
        <w:rPr>
          <w:highlight w:val="lightGray"/>
        </w:rPr>
        <w:t>Varianta</w:t>
      </w:r>
      <w:r>
        <w:t>]</w:t>
      </w:r>
    </w:p>
    <w:p w:rsidR="00252095" w:rsidRDefault="00252095" w:rsidP="00617440">
      <w:pPr>
        <w:pStyle w:val="Haupttext"/>
      </w:pPr>
      <w:r>
        <w:t>L'entira cumpensaziun da la plivalur che sto vegnir prestada a la vischnanca, sto vegnir pajada, sch'il bain immobigliar menziunà qua survart è vegnì – cun vigur legala – [</w:t>
      </w:r>
      <w:r>
        <w:rPr>
          <w:highlight w:val="lightGray"/>
        </w:rPr>
        <w:t>attribuì</w:t>
      </w:r>
      <w:r>
        <w:t>] dal tuttafatg [</w:t>
      </w:r>
      <w:r>
        <w:rPr>
          <w:highlight w:val="lightGray"/>
        </w:rPr>
        <w:t>u per part</w:t>
      </w:r>
      <w:r>
        <w:t>]</w:t>
      </w:r>
      <w:r w:rsidR="00754248">
        <w:rPr>
          <w:rStyle w:val="Funotenzeichen"/>
        </w:rPr>
        <w:footnoteReference w:id="4"/>
      </w:r>
      <w:r>
        <w:t xml:space="preserve"> [</w:t>
      </w:r>
      <w:r>
        <w:rPr>
          <w:highlight w:val="lightGray"/>
        </w:rPr>
        <w:t>ad in'autra zona]/[azonà</w:t>
      </w:r>
      <w:r>
        <w:t>] dal tuttafatg [</w:t>
      </w:r>
      <w:r>
        <w:rPr>
          <w:highlight w:val="lightGray"/>
        </w:rPr>
        <w:t>u per part</w:t>
      </w:r>
      <w:r>
        <w:t>]/[</w:t>
      </w:r>
      <w:r>
        <w:rPr>
          <w:highlight w:val="lightGray"/>
        </w:rPr>
        <w:t>attribuì</w:t>
      </w:r>
      <w:r>
        <w:t>] dal tuttafatg [</w:t>
      </w:r>
      <w:r>
        <w:rPr>
          <w:highlight w:val="lightGray"/>
        </w:rPr>
        <w:t>u per part</w:t>
      </w:r>
      <w:r>
        <w:t>][</w:t>
      </w:r>
      <w:r>
        <w:rPr>
          <w:highlight w:val="lightGray"/>
        </w:rPr>
        <w:t>ad ina zona da ...</w:t>
      </w:r>
      <w:r>
        <w:t xml:space="preserve">]. </w:t>
      </w:r>
    </w:p>
    <w:p w:rsidR="00D66776" w:rsidRDefault="00D66776" w:rsidP="00D66776">
      <w:pPr>
        <w:pStyle w:val="Haupttext"/>
        <w:numPr>
          <w:ilvl w:val="0"/>
          <w:numId w:val="0"/>
        </w:numPr>
      </w:pPr>
      <w:r>
        <w:t>[</w:t>
      </w:r>
      <w:r>
        <w:rPr>
          <w:highlight w:val="lightGray"/>
        </w:rPr>
        <w:t>Varianta</w:t>
      </w:r>
      <w:r>
        <w:t>]</w:t>
      </w:r>
      <w:r w:rsidR="00AF5913">
        <w:rPr>
          <w:rStyle w:val="Funotenzeichen"/>
        </w:rPr>
        <w:footnoteReference w:id="5"/>
      </w:r>
    </w:p>
    <w:p w:rsidR="00252095" w:rsidRDefault="00252095" w:rsidP="00617440">
      <w:pPr>
        <w:pStyle w:val="Haupttext"/>
      </w:pPr>
      <w:r>
        <w:t>La gulivaziun da la plivalur sto vegnir pajada suenter l'entrada en vigur da la mesira da planisaziun, sche</w:t>
      </w:r>
    </w:p>
    <w:p w:rsidR="00D66776" w:rsidRDefault="00D66776" w:rsidP="00D66776">
      <w:pPr>
        <w:pStyle w:val="Haupttext"/>
        <w:numPr>
          <w:ilvl w:val="0"/>
          <w:numId w:val="29"/>
        </w:numPr>
      </w:pPr>
      <w:r>
        <w:t xml:space="preserve">in'emprima permissiun da construcziun per surbajegiar il bain immobigliar menziunà </w:t>
      </w:r>
      <w:r>
        <w:rPr>
          <w:highlight w:val="lightGray"/>
        </w:rPr>
        <w:t>[u parts da tal</w:t>
      </w:r>
      <w:r>
        <w:t>]</w:t>
      </w:r>
      <w:r>
        <w:rPr>
          <w:vertAlign w:val="superscript"/>
        </w:rPr>
        <w:t>4</w:t>
      </w:r>
      <w:r>
        <w:t xml:space="preserve"> ha survegnì forza legala.</w:t>
      </w:r>
    </w:p>
    <w:p w:rsidR="00252095" w:rsidRDefault="00754248" w:rsidP="00252095">
      <w:pPr>
        <w:pStyle w:val="Haupttext"/>
        <w:numPr>
          <w:ilvl w:val="0"/>
          <w:numId w:val="29"/>
        </w:numPr>
      </w:pPr>
      <w:r>
        <w:t xml:space="preserve">il bain immobigliar menziunà vegn alienà </w:t>
      </w:r>
      <w:r>
        <w:rPr>
          <w:highlight w:val="lightGray"/>
        </w:rPr>
        <w:t>[u parts da tal vegnan alienads</w:t>
      </w:r>
      <w:r>
        <w:t>]</w:t>
      </w:r>
      <w:r>
        <w:rPr>
          <w:vertAlign w:val="superscript"/>
        </w:rPr>
        <w:t>4</w:t>
      </w:r>
      <w:r>
        <w:t xml:space="preserve"> ad in terz; u</w:t>
      </w:r>
    </w:p>
    <w:p w:rsidR="00252095" w:rsidRDefault="00252095" w:rsidP="00617440">
      <w:pPr>
        <w:pStyle w:val="Haupttext"/>
      </w:pPr>
      <w:r>
        <w:t>Fin che la taxa sto vegnir pajada, vegn ella adattada a la chareschia. Quella vegn determinada tenor l'index naziunal dals pretschs da consum. Sche quest index naziunal sa mida per dapli che 10 puncts procentuals, vegn la taxa da plivalur cunvegnida adattada correspundentamain.</w:t>
      </w:r>
    </w:p>
    <w:p w:rsidR="00CD4FDF" w:rsidRDefault="00EF633C" w:rsidP="00617440">
      <w:pPr>
        <w:pStyle w:val="Haupttext"/>
      </w:pPr>
      <w:r>
        <w:t xml:space="preserve">Il termin da pajament importa 60 dis a partir da la facturaziun tras la vischnanca. Per pajaments retardads vegn debità in tschains da retard da 5%. </w:t>
      </w:r>
    </w:p>
    <w:p w:rsidR="00CD4FDF" w:rsidRDefault="00CD4FDF" w:rsidP="00617440">
      <w:pPr>
        <w:pStyle w:val="Haupttext"/>
      </w:pPr>
      <w:r>
        <w:t>La pretensiun da la cumpensaziun da la plivalur vegn garantida sco suonda tras ina cunvegna separada</w:t>
      </w:r>
      <w:r>
        <w:rPr>
          <w:rStyle w:val="Funotenzeichen"/>
        </w:rPr>
        <w:footnoteReference w:id="6"/>
      </w:r>
      <w:r>
        <w:t>: [</w:t>
      </w:r>
      <w:r>
        <w:rPr>
          <w:highlight w:val="lightGray"/>
        </w:rPr>
        <w:t>…</w:t>
      </w:r>
      <w:r>
        <w:t>]</w:t>
      </w:r>
    </w:p>
    <w:p w:rsidR="009D4561" w:rsidRPr="0036258E" w:rsidRDefault="00754248" w:rsidP="00500A1C">
      <w:pPr>
        <w:pStyle w:val="berschrift4"/>
      </w:pPr>
      <w:r>
        <w:t>2.</w:t>
      </w:r>
      <w:r>
        <w:tab/>
        <w:t>Remartgas finalas</w:t>
      </w:r>
    </w:p>
    <w:p w:rsidR="00AC45FE" w:rsidRPr="00CD4FDF" w:rsidRDefault="00500A1C" w:rsidP="00AC45FE">
      <w:pPr>
        <w:pStyle w:val="Haupttext"/>
      </w:pPr>
      <w:r>
        <w:t xml:space="preserve">Applitgabel è il dretg svizzer. Dispitas pervia da contracts da dretg public èn suttamessas a la giurisdicziun da la Dretgira </w:t>
      </w:r>
      <w:r w:rsidR="007A2E9F">
        <w:t>superiura</w:t>
      </w:r>
      <w:r>
        <w:t xml:space="preserve"> dal chantun Grischun.</w:t>
      </w:r>
    </w:p>
    <w:p w:rsidR="00586CCB" w:rsidRPr="00CD4FDF" w:rsidRDefault="009D4561" w:rsidP="00DD6693">
      <w:pPr>
        <w:pStyle w:val="Haupttext"/>
      </w:pPr>
      <w:r>
        <w:t>La cunvegna qua avant maun vegn redigida en [</w:t>
      </w:r>
      <w:r>
        <w:rPr>
          <w:highlight w:val="lightGray"/>
        </w:rPr>
        <w:t>2</w:t>
      </w:r>
      <w:r>
        <w:t>] exemplars, mintgamai in per mauns da mintga partida.</w:t>
      </w:r>
    </w:p>
    <w:p w:rsidR="00A77A77" w:rsidRPr="0036258E" w:rsidRDefault="00A77A77" w:rsidP="00711156">
      <w:pPr>
        <w:rPr>
          <w:highlight w:val="yellow"/>
        </w:rPr>
      </w:pPr>
    </w:p>
    <w:p w:rsidR="00586CCB" w:rsidRPr="0036258E" w:rsidRDefault="00586CCB" w:rsidP="00141229">
      <w:pPr>
        <w:jc w:val="left"/>
      </w:pPr>
      <w:r>
        <w:t>Cun la regulaziun qua survart decleran d'esser d'accord.</w:t>
      </w:r>
    </w:p>
    <w:p w:rsidR="00586CCB" w:rsidRPr="0036258E" w:rsidRDefault="00586CCB" w:rsidP="00711156"/>
    <w:p w:rsidR="00586CCB" w:rsidRDefault="009D4561" w:rsidP="00141229">
      <w:pPr>
        <w:jc w:val="left"/>
      </w:pPr>
      <w:r>
        <w:t>Per la vischnanca [</w:t>
      </w:r>
      <w:r>
        <w:rPr>
          <w:highlight w:val="lightGray"/>
        </w:rPr>
        <w:t>da/d'</w:t>
      </w:r>
      <w:r>
        <w:t>][</w:t>
      </w:r>
      <w:r>
        <w:rPr>
          <w:highlight w:val="lightGray"/>
        </w:rPr>
        <w:t>…</w:t>
      </w:r>
      <w:r>
        <w:t>]</w:t>
      </w:r>
    </w:p>
    <w:p w:rsidR="00A77A77" w:rsidRDefault="00A77A77" w:rsidP="00141229">
      <w:pPr>
        <w:jc w:val="left"/>
      </w:pPr>
    </w:p>
    <w:p w:rsidR="00A77A77" w:rsidRPr="0036258E" w:rsidRDefault="00A77A77" w:rsidP="00141229">
      <w:pPr>
        <w:jc w:val="left"/>
      </w:pPr>
    </w:p>
    <w:p w:rsidR="009D4561" w:rsidRPr="0036258E" w:rsidRDefault="009D4561" w:rsidP="00141229">
      <w:pPr>
        <w:jc w:val="left"/>
      </w:pPr>
      <w:r>
        <w:t>……………………………………</w:t>
      </w:r>
      <w:r>
        <w:tab/>
      </w:r>
      <w:r>
        <w:tab/>
      </w:r>
      <w:r>
        <w:tab/>
        <w:t>……………………………………</w:t>
      </w:r>
    </w:p>
    <w:p w:rsidR="009D4561" w:rsidRPr="0036258E" w:rsidRDefault="00C95001" w:rsidP="00141229">
      <w:pPr>
        <w:jc w:val="left"/>
      </w:pPr>
      <w:r>
        <w:t>[</w:t>
      </w:r>
      <w:r>
        <w:rPr>
          <w:highlight w:val="lightGray"/>
        </w:rPr>
        <w:t>Il/La president/-a communal/-a</w:t>
      </w:r>
      <w:r>
        <w:t>]</w:t>
      </w:r>
      <w:r>
        <w:tab/>
      </w:r>
      <w:r>
        <w:tab/>
      </w:r>
      <w:r>
        <w:tab/>
        <w:t>[</w:t>
      </w:r>
      <w:r>
        <w:rPr>
          <w:highlight w:val="lightGray"/>
        </w:rPr>
        <w:t>Il/La chanzlista/-a communal/-a</w:t>
      </w:r>
      <w:r>
        <w:t>]</w:t>
      </w:r>
    </w:p>
    <w:p w:rsidR="009D4561" w:rsidRPr="0036258E" w:rsidRDefault="009D4561" w:rsidP="00711156"/>
    <w:p w:rsidR="009D4561" w:rsidRPr="0036258E" w:rsidRDefault="00141229" w:rsidP="00141229">
      <w:pPr>
        <w:jc w:val="left"/>
      </w:pPr>
      <w:r>
        <w:t>[</w:t>
      </w:r>
      <w:r>
        <w:rPr>
          <w:highlight w:val="lightGray"/>
        </w:rPr>
        <w:t>Il/La proprietari/-a</w:t>
      </w:r>
      <w:r>
        <w:t>]</w:t>
      </w:r>
    </w:p>
    <w:p w:rsidR="009D4561" w:rsidRPr="0036258E" w:rsidRDefault="009D4561" w:rsidP="00711156"/>
    <w:p w:rsidR="009D4561" w:rsidRPr="0036258E" w:rsidRDefault="009D4561" w:rsidP="00141229">
      <w:pPr>
        <w:jc w:val="left"/>
      </w:pPr>
    </w:p>
    <w:p w:rsidR="009D4561" w:rsidRPr="0036258E" w:rsidRDefault="009D4561" w:rsidP="00141229">
      <w:pPr>
        <w:jc w:val="left"/>
      </w:pPr>
      <w:r>
        <w:t>……………………………………</w:t>
      </w:r>
      <w:r>
        <w:tab/>
      </w:r>
      <w:r>
        <w:tab/>
      </w:r>
      <w:r>
        <w:tab/>
      </w:r>
    </w:p>
    <w:p w:rsidR="009D4561" w:rsidRPr="0036258E" w:rsidRDefault="009D4561" w:rsidP="00141229">
      <w:pPr>
        <w:jc w:val="left"/>
      </w:pPr>
      <w:r>
        <w:t>[</w:t>
      </w:r>
      <w:r>
        <w:rPr>
          <w:highlight w:val="lightGray"/>
        </w:rPr>
        <w:t>num</w:t>
      </w:r>
      <w:r>
        <w:t>]</w:t>
      </w:r>
      <w:r>
        <w:tab/>
      </w:r>
      <w:r>
        <w:tab/>
      </w:r>
      <w:r>
        <w:tab/>
      </w:r>
      <w:r>
        <w:tab/>
      </w:r>
      <w:r>
        <w:tab/>
      </w:r>
      <w:r>
        <w:tab/>
      </w:r>
    </w:p>
    <w:p w:rsidR="009D4561" w:rsidRPr="0036258E" w:rsidRDefault="009D4561" w:rsidP="00711156"/>
    <w:p w:rsidR="00F42E89" w:rsidRDefault="00F42E89" w:rsidP="00711156"/>
    <w:p w:rsidR="00F42E89" w:rsidRDefault="00F42E89" w:rsidP="00711156">
      <w:pPr>
        <w:rPr>
          <w:szCs w:val="22"/>
        </w:rPr>
      </w:pPr>
    </w:p>
    <w:p w:rsidR="00A77A77" w:rsidRPr="00141229" w:rsidRDefault="00A77A77" w:rsidP="00711156">
      <w:pPr>
        <w:rPr>
          <w:szCs w:val="22"/>
        </w:rPr>
      </w:pPr>
    </w:p>
    <w:p w:rsidR="00740201" w:rsidRPr="00141229" w:rsidRDefault="00740201" w:rsidP="001C33A2">
      <w:pPr>
        <w:pStyle w:val="hinweis"/>
        <w:shd w:val="pct12" w:color="auto" w:fill="auto"/>
      </w:pPr>
      <w:r>
        <w:rPr>
          <w:u w:val="single"/>
        </w:rPr>
        <w:t>Infurmaziun da diever:</w:t>
      </w:r>
      <w:r>
        <w:t xml:space="preserve"> Quest text da model è in agid dal chantun. In contract sto adina vegnir concepì en vista al cas singul concret. Quest model na remplazza betg ina cussegliaziun giuridica per concepir in contract. Sias formulaziuns èn mo propostas. Las passaschas che las partidas ston cumplettar u precisar èn marcadas cun parantesas quadras […] che cuntegnan variablas sin fund grisch. Explicaziuns e renviaments a variantas per concepir il contract vegnan dadas en l'annotaziun. </w:t>
      </w:r>
    </w:p>
    <w:p w:rsidR="009D4561" w:rsidRPr="0036258E" w:rsidRDefault="009D4561" w:rsidP="00711156"/>
    <w:p w:rsidR="009D4561" w:rsidRPr="00D24914" w:rsidRDefault="009D4561" w:rsidP="00A77A77">
      <w:pPr>
        <w:pStyle w:val="Text"/>
        <w:tabs>
          <w:tab w:val="left" w:pos="1425"/>
        </w:tabs>
      </w:pPr>
    </w:p>
    <w:sectPr w:rsidR="009D4561" w:rsidRPr="00D24914">
      <w:headerReference w:type="even" r:id="rId11"/>
      <w:headerReference w:type="default" r:id="rId12"/>
      <w:footerReference w:type="even" r:id="rId13"/>
      <w:footerReference w:type="default" r:id="rId14"/>
      <w:headerReference w:type="first" r:id="rId15"/>
      <w:footerReference w:type="first" r:id="rId16"/>
      <w:pgSz w:w="11906" w:h="16838" w:code="9"/>
      <w:pgMar w:top="1418" w:right="1588" w:bottom="1701" w:left="1418" w:header="851" w:footer="720" w:gutter="0"/>
      <w:paperSrc w:first="263"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A2" w:rsidRDefault="00261BA2" w:rsidP="00711156">
      <w:r>
        <w:separator/>
      </w:r>
    </w:p>
  </w:endnote>
  <w:endnote w:type="continuationSeparator" w:id="0">
    <w:p w:rsidR="00261BA2" w:rsidRDefault="00261BA2" w:rsidP="007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B0" w:rsidRDefault="00603C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B0" w:rsidRDefault="00603C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B0" w:rsidRDefault="00603C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A2" w:rsidRDefault="00261BA2" w:rsidP="00711156">
      <w:r>
        <w:separator/>
      </w:r>
    </w:p>
  </w:footnote>
  <w:footnote w:type="continuationSeparator" w:id="0">
    <w:p w:rsidR="00261BA2" w:rsidRDefault="00261BA2" w:rsidP="00711156">
      <w:r>
        <w:continuationSeparator/>
      </w:r>
    </w:p>
  </w:footnote>
  <w:footnote w:id="1">
    <w:p w:rsidR="00CB3C2E" w:rsidRDefault="00CB3C2E">
      <w:pPr>
        <w:pStyle w:val="Funotentext"/>
      </w:pPr>
      <w:r>
        <w:rPr>
          <w:rStyle w:val="Funotenzeichen"/>
        </w:rPr>
        <w:footnoteRef/>
      </w:r>
      <w:r>
        <w:t xml:space="preserve"> Cunvegnas davart la taxa da plivalur per enzonaziuns, ch'èn vegnidas concludidas da la vischnanca suenter il 1. d'avrigl 2019, èn obsoletas (art. 108a al. 1 LPTGR). Cunvegnas davart taxas da plivalur per auters causals suttamess a la taxa vegnan resguardadas sco admissiblas vinavant, en spezial contracts davart la taxa da plivalur pervia d'avantatgs da planisaziun tras ina midada da zona u tras in augment dal grad d'utilisaziun (azonaziun), u tras auters causals communals suttamess a la taxa, sco l'attribuziun da terren ad ina zona per l'explotaziun da material u ad ina zona da deponia da material. Empè da prestaziuns en daners pon er vegnir cunvegnidas autras prestaziuns (art. 19j al. 2 e 3 LPTGR ed art. 35i OPTGR).</w:t>
      </w:r>
    </w:p>
  </w:footnote>
  <w:footnote w:id="2">
    <w:p w:rsidR="00617440" w:rsidRPr="00EA7578" w:rsidRDefault="00617440" w:rsidP="00EA7578">
      <w:pPr>
        <w:pStyle w:val="Fuzeile"/>
      </w:pPr>
      <w:r>
        <w:rPr>
          <w:rStyle w:val="Funotenzeichen"/>
        </w:rPr>
        <w:footnoteRef/>
      </w:r>
      <w:r>
        <w:t xml:space="preserve"> Ina cunvegna davart la taxa da plivalur en cas d'ina attribuziun da territoris betg da construcziun ad ina zona da construcziun n'è betg admissibla, cf. annotaziun 1.</w:t>
      </w:r>
    </w:p>
  </w:footnote>
  <w:footnote w:id="3">
    <w:p w:rsidR="0002603E" w:rsidRDefault="0002603E" w:rsidP="0002603E">
      <w:pPr>
        <w:pStyle w:val="Fuzeile"/>
      </w:pPr>
      <w:r>
        <w:rPr>
          <w:rStyle w:val="Funotenzeichen"/>
        </w:rPr>
        <w:footnoteRef/>
      </w:r>
      <w:r>
        <w:t xml:space="preserve"> La taxa da plivalur po vegnir fixada per meter quadrat u tras autras modalitads (p.ex. tariffa fixada per la plivalur ch'è effectivamain vegnida realisada analogamain a l'art 19k ed a l'art. 19l LPTGR). Igl è er admess da fixar autras prestaziuns empè da prestaziuns en daners. </w:t>
      </w:r>
    </w:p>
  </w:footnote>
  <w:footnote w:id="4">
    <w:p w:rsidR="00754248" w:rsidRDefault="00754248" w:rsidP="00754248">
      <w:pPr>
        <w:pStyle w:val="Fuzeile"/>
      </w:pPr>
      <w:r>
        <w:rPr>
          <w:rStyle w:val="Funotenzeichen"/>
        </w:rPr>
        <w:footnoteRef/>
      </w:r>
      <w:r>
        <w:t xml:space="preserve"> Questa cumplettaziun dependa da las modalitads tschernidas per calcular la taxa e fa senn en spezial, sch'igl è vegnida fixada ina tariffa per meter quadrat.</w:t>
      </w:r>
    </w:p>
  </w:footnote>
  <w:footnote w:id="5">
    <w:p w:rsidR="00AF5913" w:rsidRDefault="00AF5913" w:rsidP="00AF5913">
      <w:pPr>
        <w:pStyle w:val="Fuzeile"/>
      </w:pPr>
      <w:r>
        <w:rPr>
          <w:rStyle w:val="Funotenzeichen"/>
        </w:rPr>
        <w:footnoteRef/>
      </w:r>
      <w:r>
        <w:t xml:space="preserve"> Alternativamain po il pajament da la gulivaziun da la plivalur er vegnir reglà analogamain a l'art. 19n LPTGR, tenor il qual la gulivaziun vegn pajada il mument ch'il bain immobigliar vegn surbajegià u alienà. </w:t>
      </w:r>
    </w:p>
  </w:footnote>
  <w:footnote w:id="6">
    <w:p w:rsidR="00CD4FDF" w:rsidRDefault="00CD4FDF" w:rsidP="006B5904">
      <w:pPr>
        <w:pStyle w:val="Fuzeile"/>
      </w:pPr>
      <w:r>
        <w:rPr>
          <w:rStyle w:val="Funotenzeichen"/>
        </w:rPr>
        <w:footnoteRef/>
      </w:r>
      <w:r>
        <w:t>Pussaivladads:  garanzia da banca en furma d'ina garanzia solidarica, d'ina ipoteca u d'ina brev ipotecara sin in terz bain immobigliar a favur da la vischnanca e.u.v.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A2" w:rsidRDefault="00261BA2" w:rsidP="00711156">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rsidR="00261BA2" w:rsidRDefault="00261BA2" w:rsidP="00711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569945"/>
      <w:docPartObj>
        <w:docPartGallery w:val="Page Numbers (Top of Page)"/>
        <w:docPartUnique/>
      </w:docPartObj>
    </w:sdtPr>
    <w:sdtEndPr/>
    <w:sdtContent>
      <w:p w:rsidR="00C379D0" w:rsidRDefault="00C379D0">
        <w:pPr>
          <w:pStyle w:val="Kopfzeile"/>
          <w:jc w:val="center"/>
        </w:pPr>
        <w:r>
          <w:fldChar w:fldCharType="begin"/>
        </w:r>
        <w:r>
          <w:instrText>PAGE   \* MERGEFORMAT</w:instrText>
        </w:r>
        <w:r>
          <w:fldChar w:fldCharType="separate"/>
        </w:r>
        <w:r w:rsidR="00603CB0">
          <w:rPr>
            <w:noProof/>
          </w:rPr>
          <w:t>2</w:t>
        </w:r>
        <w:r>
          <w:fldChar w:fldCharType="end"/>
        </w:r>
      </w:p>
    </w:sdtContent>
  </w:sdt>
  <w:p w:rsidR="00261BA2" w:rsidRDefault="00261BA2" w:rsidP="009A657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57A" w:rsidRPr="00AD25D9" w:rsidRDefault="009A657A" w:rsidP="009A657A">
    <w:pPr>
      <w:pStyle w:val="Kopfzeile"/>
      <w:pBdr>
        <w:top w:val="single" w:sz="4" w:space="1" w:color="auto"/>
        <w:left w:val="single" w:sz="4" w:space="4" w:color="auto"/>
        <w:bottom w:val="single" w:sz="4" w:space="1" w:color="auto"/>
        <w:right w:val="single" w:sz="4" w:space="4" w:color="auto"/>
      </w:pBdr>
      <w:rPr>
        <w:b/>
        <w:sz w:val="24"/>
      </w:rPr>
    </w:pPr>
    <w:r>
      <w:rPr>
        <w:b/>
        <w:sz w:val="24"/>
      </w:rPr>
      <w:t xml:space="preserve">Agid d'execuziun </w:t>
    </w:r>
    <w:r>
      <w:rPr>
        <w:b/>
        <w:sz w:val="24"/>
      </w:rPr>
      <w:t>V2</w:t>
    </w:r>
    <w:bookmarkStart w:id="0" w:name="_GoBack"/>
    <w:bookmarkEnd w:id="0"/>
  </w:p>
  <w:p w:rsidR="009A657A" w:rsidRPr="00F516E2" w:rsidRDefault="006C4F0C" w:rsidP="009A657A">
    <w:pPr>
      <w:pStyle w:val="Kopfzeile"/>
      <w:pBdr>
        <w:top w:val="single" w:sz="4" w:space="1" w:color="auto"/>
        <w:left w:val="single" w:sz="4" w:space="4" w:color="auto"/>
        <w:bottom w:val="single" w:sz="4" w:space="1" w:color="auto"/>
        <w:right w:val="single" w:sz="4" w:space="4" w:color="auto"/>
      </w:pBdr>
    </w:pPr>
    <w:r>
      <w:t xml:space="preserve">Uffizi per il svilup dal territori dal Grischun, versiun dals </w:t>
    </w:r>
    <w:r w:rsidR="007A2E9F">
      <w:t>2</w:t>
    </w:r>
    <w:r>
      <w:t>0-</w:t>
    </w:r>
    <w:r w:rsidR="007A2E9F">
      <w:t>12</w:t>
    </w:r>
    <w:r>
      <w:t>-202</w:t>
    </w:r>
    <w:r w:rsidR="007A2E9F">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9322E8"/>
    <w:multiLevelType w:val="hybridMultilevel"/>
    <w:tmpl w:val="BECE59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C6388B"/>
    <w:multiLevelType w:val="hybridMultilevel"/>
    <w:tmpl w:val="C9FECC30"/>
    <w:lvl w:ilvl="0" w:tplc="F26CCE80">
      <w:start w:val="1"/>
      <w:numFmt w:val="decimal"/>
      <w:pStyle w:val="Haupttext"/>
      <w:lvlText w:val="%1."/>
      <w:lvlJc w:val="left"/>
      <w:pPr>
        <w:ind w:left="644" w:hanging="644"/>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3F102A4"/>
    <w:multiLevelType w:val="hybridMultilevel"/>
    <w:tmpl w:val="F4146DBA"/>
    <w:lvl w:ilvl="0" w:tplc="0554E77A">
      <w:start w:val="1"/>
      <w:numFmt w:val="bullet"/>
      <w:lvlText w:val="-"/>
      <w:lvlJc w:val="left"/>
      <w:pPr>
        <w:ind w:left="1069" w:hanging="360"/>
      </w:pPr>
      <w:rPr>
        <w:rFonts w:ascii="Arial" w:eastAsiaTheme="minorHAnsi" w:hAnsi="Arial" w:cs="Aria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9425D1"/>
    <w:multiLevelType w:val="hybridMultilevel"/>
    <w:tmpl w:val="077EBAF6"/>
    <w:lvl w:ilvl="0" w:tplc="CA665B2C">
      <w:start w:val="4"/>
      <w:numFmt w:val="bullet"/>
      <w:lvlText w:val="-"/>
      <w:lvlJc w:val="left"/>
      <w:pPr>
        <w:ind w:left="1776" w:hanging="360"/>
      </w:pPr>
      <w:rPr>
        <w:rFonts w:ascii="Arial" w:eastAsiaTheme="minorHAns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0"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2BE0305"/>
    <w:multiLevelType w:val="hybridMultilevel"/>
    <w:tmpl w:val="15A4A63E"/>
    <w:lvl w:ilvl="0" w:tplc="C47E871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7E230EA"/>
    <w:multiLevelType w:val="hybridMultilevel"/>
    <w:tmpl w:val="2D5C8CD4"/>
    <w:lvl w:ilvl="0" w:tplc="1FC426A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88E05D6"/>
    <w:multiLevelType w:val="hybridMultilevel"/>
    <w:tmpl w:val="D66C6530"/>
    <w:lvl w:ilvl="0" w:tplc="7F5A142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0676C2F"/>
    <w:multiLevelType w:val="hybridMultilevel"/>
    <w:tmpl w:val="64663A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3455D59"/>
    <w:multiLevelType w:val="hybridMultilevel"/>
    <w:tmpl w:val="FF0AE012"/>
    <w:lvl w:ilvl="0" w:tplc="BBDA4B6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9561A9E"/>
    <w:multiLevelType w:val="hybridMultilevel"/>
    <w:tmpl w:val="A8D216B8"/>
    <w:lvl w:ilvl="0" w:tplc="0C62909A">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AFB395C"/>
    <w:multiLevelType w:val="hybridMultilevel"/>
    <w:tmpl w:val="E71E2F66"/>
    <w:lvl w:ilvl="0" w:tplc="C1C8CA28">
      <w:start w:val="1"/>
      <w:numFmt w:val="upperRoman"/>
      <w:pStyle w:val="berschrift3"/>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4"/>
  </w:num>
  <w:num w:numId="5">
    <w:abstractNumId w:val="16"/>
  </w:num>
  <w:num w:numId="6">
    <w:abstractNumId w:val="21"/>
  </w:num>
  <w:num w:numId="7">
    <w:abstractNumId w:val="6"/>
  </w:num>
  <w:num w:numId="8">
    <w:abstractNumId w:val="0"/>
  </w:num>
  <w:num w:numId="9">
    <w:abstractNumId w:val="0"/>
  </w:num>
  <w:num w:numId="10">
    <w:abstractNumId w:val="10"/>
  </w:num>
  <w:num w:numId="11">
    <w:abstractNumId w:val="19"/>
  </w:num>
  <w:num w:numId="12">
    <w:abstractNumId w:val="8"/>
  </w:num>
  <w:num w:numId="13">
    <w:abstractNumId w:val="0"/>
  </w:num>
  <w:num w:numId="14">
    <w:abstractNumId w:val="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18"/>
  </w:num>
  <w:num w:numId="20">
    <w:abstractNumId w:val="12"/>
  </w:num>
  <w:num w:numId="21">
    <w:abstractNumId w:val="7"/>
  </w:num>
  <w:num w:numId="22">
    <w:abstractNumId w:val="18"/>
    <w:lvlOverride w:ilvl="0">
      <w:startOverride w:val="1"/>
    </w:lvlOverride>
  </w:num>
  <w:num w:numId="23">
    <w:abstractNumId w:val="18"/>
    <w:lvlOverride w:ilvl="0">
      <w:startOverride w:val="5"/>
    </w:lvlOverride>
  </w:num>
  <w:num w:numId="24">
    <w:abstractNumId w:val="4"/>
  </w:num>
  <w:num w:numId="25">
    <w:abstractNumId w:val="22"/>
  </w:num>
  <w:num w:numId="26">
    <w:abstractNumId w:val="17"/>
  </w:num>
  <w:num w:numId="27">
    <w:abstractNumId w:val="9"/>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F"/>
    <w:rsid w:val="000135F7"/>
    <w:rsid w:val="00020650"/>
    <w:rsid w:val="0002603E"/>
    <w:rsid w:val="00110DDC"/>
    <w:rsid w:val="00141229"/>
    <w:rsid w:val="001433B8"/>
    <w:rsid w:val="00154C10"/>
    <w:rsid w:val="001C33A2"/>
    <w:rsid w:val="001E63AE"/>
    <w:rsid w:val="00252095"/>
    <w:rsid w:val="00261BA2"/>
    <w:rsid w:val="002A0AE9"/>
    <w:rsid w:val="002F7A6B"/>
    <w:rsid w:val="0036258E"/>
    <w:rsid w:val="00376352"/>
    <w:rsid w:val="0039271A"/>
    <w:rsid w:val="00393F38"/>
    <w:rsid w:val="00396D6C"/>
    <w:rsid w:val="003A6E75"/>
    <w:rsid w:val="003A7B39"/>
    <w:rsid w:val="003D2115"/>
    <w:rsid w:val="003D365A"/>
    <w:rsid w:val="0040005C"/>
    <w:rsid w:val="004035FB"/>
    <w:rsid w:val="00406E2F"/>
    <w:rsid w:val="0045115D"/>
    <w:rsid w:val="004802A5"/>
    <w:rsid w:val="004F01DC"/>
    <w:rsid w:val="00500A1C"/>
    <w:rsid w:val="00572DEF"/>
    <w:rsid w:val="00577996"/>
    <w:rsid w:val="00586CCB"/>
    <w:rsid w:val="00592E24"/>
    <w:rsid w:val="00595F04"/>
    <w:rsid w:val="005A2E75"/>
    <w:rsid w:val="005B198B"/>
    <w:rsid w:val="005B53B5"/>
    <w:rsid w:val="005E4A2F"/>
    <w:rsid w:val="005F3685"/>
    <w:rsid w:val="005F51AD"/>
    <w:rsid w:val="00603CB0"/>
    <w:rsid w:val="00617440"/>
    <w:rsid w:val="006253AA"/>
    <w:rsid w:val="0064542E"/>
    <w:rsid w:val="00672757"/>
    <w:rsid w:val="0067484A"/>
    <w:rsid w:val="006815D9"/>
    <w:rsid w:val="006B5904"/>
    <w:rsid w:val="006C4F0C"/>
    <w:rsid w:val="006D1F20"/>
    <w:rsid w:val="006F6B93"/>
    <w:rsid w:val="00711156"/>
    <w:rsid w:val="00736FCD"/>
    <w:rsid w:val="00740201"/>
    <w:rsid w:val="007526F8"/>
    <w:rsid w:val="00754248"/>
    <w:rsid w:val="007739D7"/>
    <w:rsid w:val="007A2E9F"/>
    <w:rsid w:val="007B08FA"/>
    <w:rsid w:val="007B4F03"/>
    <w:rsid w:val="007E0B71"/>
    <w:rsid w:val="007F455D"/>
    <w:rsid w:val="0084755F"/>
    <w:rsid w:val="00860666"/>
    <w:rsid w:val="00867011"/>
    <w:rsid w:val="00893E86"/>
    <w:rsid w:val="008C1FB6"/>
    <w:rsid w:val="0091730A"/>
    <w:rsid w:val="009513FC"/>
    <w:rsid w:val="009A657A"/>
    <w:rsid w:val="009D4561"/>
    <w:rsid w:val="009F3960"/>
    <w:rsid w:val="009F3D96"/>
    <w:rsid w:val="00A01F99"/>
    <w:rsid w:val="00A21116"/>
    <w:rsid w:val="00A57D3A"/>
    <w:rsid w:val="00A77A77"/>
    <w:rsid w:val="00A85872"/>
    <w:rsid w:val="00AC45FE"/>
    <w:rsid w:val="00AD25D9"/>
    <w:rsid w:val="00AD466C"/>
    <w:rsid w:val="00AE0CF5"/>
    <w:rsid w:val="00AF5913"/>
    <w:rsid w:val="00B34EB7"/>
    <w:rsid w:val="00B50460"/>
    <w:rsid w:val="00C12274"/>
    <w:rsid w:val="00C379D0"/>
    <w:rsid w:val="00C37F5D"/>
    <w:rsid w:val="00C40A72"/>
    <w:rsid w:val="00C95001"/>
    <w:rsid w:val="00CA1C8E"/>
    <w:rsid w:val="00CB3C2E"/>
    <w:rsid w:val="00CD23A2"/>
    <w:rsid w:val="00CD4FDF"/>
    <w:rsid w:val="00CF10B3"/>
    <w:rsid w:val="00D24914"/>
    <w:rsid w:val="00D25AAC"/>
    <w:rsid w:val="00D66776"/>
    <w:rsid w:val="00D910AB"/>
    <w:rsid w:val="00DB2870"/>
    <w:rsid w:val="00DC1DA1"/>
    <w:rsid w:val="00DF6FAC"/>
    <w:rsid w:val="00E37836"/>
    <w:rsid w:val="00E5691C"/>
    <w:rsid w:val="00E56E04"/>
    <w:rsid w:val="00EA7578"/>
    <w:rsid w:val="00EB5395"/>
    <w:rsid w:val="00EB5840"/>
    <w:rsid w:val="00EF633C"/>
    <w:rsid w:val="00F04565"/>
    <w:rsid w:val="00F25973"/>
    <w:rsid w:val="00F42E89"/>
    <w:rsid w:val="00F50D37"/>
    <w:rsid w:val="00F80BA5"/>
    <w:rsid w:val="00FD5D9A"/>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6DEE248D"/>
  <w15:docId w15:val="{325A59A3-BF66-4F19-ABCE-7B410F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A5"/>
    <w:pPr>
      <w:spacing w:after="180" w:line="312" w:lineRule="auto"/>
      <w:jc w:val="center"/>
      <w:outlineLvl w:val="1"/>
    </w:pPr>
    <w:rPr>
      <w:rFonts w:ascii="Arial" w:eastAsiaTheme="minorHAnsi" w:hAnsi="Arial" w:cs="Arial"/>
      <w:sz w:val="22"/>
      <w:szCs w:val="36"/>
      <w:lang w:eastAsia="en-US"/>
    </w:rPr>
  </w:style>
  <w:style w:type="paragraph" w:styleId="berschrift1">
    <w:name w:val="heading 1"/>
    <w:basedOn w:val="Standard"/>
    <w:next w:val="Standard"/>
    <w:link w:val="berschrift1Zchn"/>
    <w:autoRedefine/>
    <w:uiPriority w:val="9"/>
    <w:qFormat/>
    <w:rsid w:val="00617440"/>
    <w:pPr>
      <w:spacing w:before="840" w:after="600"/>
      <w:outlineLvl w:val="0"/>
    </w:pPr>
    <w:rPr>
      <w:b/>
      <w:sz w:val="40"/>
      <w:szCs w:val="40"/>
    </w:rPr>
  </w:style>
  <w:style w:type="paragraph" w:styleId="berschrift2">
    <w:name w:val="heading 2"/>
    <w:basedOn w:val="berschrift1"/>
    <w:next w:val="Standard"/>
    <w:link w:val="berschrift2Zchn"/>
    <w:autoRedefine/>
    <w:qFormat/>
    <w:rsid w:val="006D1F20"/>
    <w:pPr>
      <w:outlineLvl w:val="1"/>
    </w:pPr>
    <w:rPr>
      <w:sz w:val="36"/>
      <w:szCs w:val="36"/>
    </w:rPr>
  </w:style>
  <w:style w:type="paragraph" w:styleId="berschrift3">
    <w:name w:val="heading 3"/>
    <w:basedOn w:val="berschrift1"/>
    <w:next w:val="Standard"/>
    <w:link w:val="berschrift3Zchn"/>
    <w:autoRedefine/>
    <w:qFormat/>
    <w:rsid w:val="0040005C"/>
    <w:pPr>
      <w:numPr>
        <w:numId w:val="25"/>
      </w:numPr>
      <w:spacing w:before="720" w:after="480"/>
      <w:jc w:val="left"/>
      <w:outlineLvl w:val="2"/>
    </w:pPr>
    <w:rPr>
      <w:sz w:val="32"/>
      <w:szCs w:val="32"/>
    </w:rPr>
  </w:style>
  <w:style w:type="paragraph" w:styleId="berschrift4">
    <w:name w:val="heading 4"/>
    <w:basedOn w:val="berschrift2"/>
    <w:next w:val="Standard"/>
    <w:link w:val="berschrift4Zchn"/>
    <w:autoRedefine/>
    <w:unhideWhenUsed/>
    <w:qFormat/>
    <w:rsid w:val="006B5904"/>
    <w:pPr>
      <w:keepNext/>
      <w:spacing w:before="480" w:after="360"/>
      <w:jc w:val="left"/>
      <w:outlineLvl w:val="3"/>
    </w:pPr>
    <w:rPr>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11156"/>
    <w:pPr>
      <w:tabs>
        <w:tab w:val="center" w:pos="4536"/>
        <w:tab w:val="right" w:pos="9072"/>
      </w:tabs>
      <w:spacing w:after="0"/>
      <w:jc w:val="right"/>
    </w:pPr>
    <w:rPr>
      <w:sz w:val="16"/>
      <w:szCs w:val="16"/>
    </w:rPr>
  </w:style>
  <w:style w:type="paragraph" w:styleId="Fuzeile">
    <w:name w:val="footer"/>
    <w:basedOn w:val="Funotentext"/>
    <w:link w:val="FuzeileZchn"/>
    <w:rsid w:val="0040005C"/>
    <w:pPr>
      <w:spacing w:after="120" w:line="240" w:lineRule="auto"/>
    </w:pPr>
    <w:rPr>
      <w:sz w:val="18"/>
      <w:szCs w:val="18"/>
    </w:rPr>
  </w:style>
  <w:style w:type="paragraph" w:styleId="Funotentext">
    <w:name w:val="footnote text"/>
    <w:basedOn w:val="Standard"/>
    <w:autoRedefine/>
    <w:semiHidden/>
    <w:rsid w:val="00EA7578"/>
    <w:pPr>
      <w:jc w:val="left"/>
    </w:pPr>
    <w:rPr>
      <w:sz w:val="20"/>
    </w:rPr>
  </w:style>
  <w:style w:type="paragraph" w:styleId="Listenabsatz">
    <w:name w:val="List Paragraph"/>
    <w:basedOn w:val="Standard"/>
    <w:uiPriority w:val="34"/>
    <w:qFormat/>
    <w:rsid w:val="00572DEF"/>
    <w:pPr>
      <w:spacing w:after="0" w:line="240" w:lineRule="auto"/>
      <w:ind w:left="720"/>
    </w:pPr>
    <w:rPr>
      <w:rFonts w:ascii="Calibri" w:hAnsi="Calibri"/>
    </w:rPr>
  </w:style>
  <w:style w:type="character" w:customStyle="1" w:styleId="berschrift2Zchn">
    <w:name w:val="Überschrift 2 Zchn"/>
    <w:basedOn w:val="Absatz-Standardschriftart"/>
    <w:link w:val="berschrift2"/>
    <w:rsid w:val="006D1F20"/>
    <w:rPr>
      <w:rFonts w:ascii="Arial" w:eastAsiaTheme="minorHAnsi" w:hAnsi="Arial" w:cs="Arial"/>
      <w:b/>
      <w:sz w:val="36"/>
      <w:szCs w:val="36"/>
      <w:lang w:val="rm-CH" w:eastAsia="en-US"/>
    </w:rPr>
  </w:style>
  <w:style w:type="character" w:customStyle="1" w:styleId="berschrift3Zchn">
    <w:name w:val="Überschrift 3 Zchn"/>
    <w:basedOn w:val="Absatz-Standardschriftart"/>
    <w:link w:val="berschrift3"/>
    <w:rsid w:val="0040005C"/>
    <w:rPr>
      <w:rFonts w:ascii="Arial" w:eastAsiaTheme="minorHAnsi" w:hAnsi="Arial" w:cs="Arial"/>
      <w:b/>
      <w:sz w:val="32"/>
      <w:szCs w:val="32"/>
      <w:lang w:val="rm-CH" w:eastAsia="en-US"/>
    </w:rPr>
  </w:style>
  <w:style w:type="character" w:customStyle="1" w:styleId="berschrift4Zchn">
    <w:name w:val="Überschrift 4 Zchn"/>
    <w:basedOn w:val="Absatz-Standardschriftart"/>
    <w:link w:val="berschrift4"/>
    <w:rsid w:val="006B5904"/>
    <w:rPr>
      <w:rFonts w:ascii="Arial" w:eastAsiaTheme="minorHAnsi" w:hAnsi="Arial" w:cs="Arial"/>
      <w:b/>
      <w:sz w:val="28"/>
      <w:szCs w:val="28"/>
      <w:lang w:val="rm-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berschrift1Zchn">
    <w:name w:val="Überschrift 1 Zchn"/>
    <w:basedOn w:val="Absatz-Standardschriftart"/>
    <w:link w:val="berschrift1"/>
    <w:uiPriority w:val="9"/>
    <w:rsid w:val="00617440"/>
    <w:rPr>
      <w:rFonts w:ascii="Arial" w:eastAsiaTheme="minorHAnsi" w:hAnsi="Arial" w:cs="Arial"/>
      <w:b/>
      <w:sz w:val="40"/>
      <w:szCs w:val="40"/>
      <w:lang w:val="rm-CH" w:eastAsia="en-US"/>
    </w:rPr>
  </w:style>
  <w:style w:type="paragraph" w:customStyle="1" w:styleId="Haupttext">
    <w:name w:val="Haupttext"/>
    <w:basedOn w:val="Standard"/>
    <w:qFormat/>
    <w:rsid w:val="00617440"/>
    <w:pPr>
      <w:numPr>
        <w:numId w:val="24"/>
      </w:numPr>
      <w:ind w:left="709" w:hanging="709"/>
      <w:jc w:val="both"/>
    </w:pPr>
  </w:style>
  <w:style w:type="character" w:customStyle="1" w:styleId="KopfzeileZchn">
    <w:name w:val="Kopfzeile Zchn"/>
    <w:basedOn w:val="Absatz-Standardschriftart"/>
    <w:link w:val="Kopfzeile"/>
    <w:uiPriority w:val="99"/>
    <w:rsid w:val="00711156"/>
    <w:rPr>
      <w:rFonts w:ascii="Arial" w:eastAsiaTheme="minorHAnsi" w:hAnsi="Arial" w:cs="Arial"/>
      <w:sz w:val="16"/>
      <w:szCs w:val="16"/>
      <w:lang w:val="rm-CH" w:eastAsia="en-US"/>
    </w:rPr>
  </w:style>
  <w:style w:type="character" w:styleId="Seitenzahl">
    <w:name w:val="page number"/>
    <w:basedOn w:val="Absatz-Standardschriftart"/>
    <w:rsid w:val="00154C10"/>
  </w:style>
  <w:style w:type="character" w:customStyle="1" w:styleId="FuzeileZchn">
    <w:name w:val="Fußzeile Zchn"/>
    <w:basedOn w:val="Absatz-Standardschriftart"/>
    <w:link w:val="Fuzeile"/>
    <w:rsid w:val="0040005C"/>
    <w:rPr>
      <w:rFonts w:ascii="Arial" w:eastAsiaTheme="minorHAnsi" w:hAnsi="Arial" w:cs="Arial"/>
      <w:sz w:val="18"/>
      <w:szCs w:val="18"/>
      <w:lang w:val="rm-CH" w:eastAsia="en-US"/>
    </w:rPr>
  </w:style>
  <w:style w:type="paragraph" w:customStyle="1" w:styleId="Text">
    <w:name w:val="Text"/>
    <w:rsid w:val="00154C10"/>
    <w:pPr>
      <w:spacing w:line="328" w:lineRule="atLeast"/>
      <w:jc w:val="both"/>
    </w:pPr>
    <w:rPr>
      <w:rFonts w:ascii="QTOptimum" w:hAnsi="QTOptimum"/>
      <w:snapToGrid w:val="0"/>
      <w:color w:val="000000"/>
      <w:lang w:eastAsia="de-DE"/>
    </w:rPr>
  </w:style>
  <w:style w:type="paragraph" w:styleId="Sprechblasentext">
    <w:name w:val="Balloon Text"/>
    <w:basedOn w:val="Standard"/>
    <w:link w:val="SprechblasentextZchn"/>
    <w:semiHidden/>
    <w:unhideWhenUsed/>
    <w:rsid w:val="008670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7011"/>
    <w:rPr>
      <w:rFonts w:ascii="Segoe UI" w:eastAsiaTheme="minorHAnsi" w:hAnsi="Segoe UI" w:cs="Segoe UI"/>
      <w:sz w:val="18"/>
      <w:szCs w:val="18"/>
      <w:lang w:val="rm-CH" w:eastAsia="en-US"/>
    </w:rPr>
  </w:style>
  <w:style w:type="character" w:styleId="Funotenzeichen">
    <w:name w:val="footnote reference"/>
    <w:basedOn w:val="Absatz-Standardschriftart"/>
    <w:semiHidden/>
    <w:unhideWhenUsed/>
    <w:rsid w:val="00617440"/>
    <w:rPr>
      <w:vertAlign w:val="superscript"/>
    </w:rPr>
  </w:style>
  <w:style w:type="paragraph" w:customStyle="1" w:styleId="hinweis">
    <w:name w:val="hinweis"/>
    <w:basedOn w:val="Fuzeile"/>
    <w:qFormat/>
    <w:rsid w:val="00141229"/>
    <w:pPr>
      <w:pBdr>
        <w:top w:val="single" w:sz="4" w:space="1" w:color="auto"/>
        <w:left w:val="single" w:sz="4" w:space="4" w:color="auto"/>
        <w:bottom w:val="single" w:sz="4" w:space="1" w:color="auto"/>
        <w:right w:val="single" w:sz="4" w:space="4" w:color="auto"/>
      </w:pBdr>
      <w:spacing w:line="26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866021161">
      <w:bodyDiv w:val="1"/>
      <w:marLeft w:val="0"/>
      <w:marRight w:val="0"/>
      <w:marTop w:val="0"/>
      <w:marBottom w:val="0"/>
      <w:divBdr>
        <w:top w:val="none" w:sz="0" w:space="0" w:color="auto"/>
        <w:left w:val="none" w:sz="0" w:space="0" w:color="auto"/>
        <w:bottom w:val="none" w:sz="0" w:space="0" w:color="auto"/>
        <w:right w:val="none" w:sz="0" w:space="0" w:color="auto"/>
      </w:divBdr>
      <w:divsChild>
        <w:div w:id="1077094225">
          <w:marLeft w:val="0"/>
          <w:marRight w:val="0"/>
          <w:marTop w:val="0"/>
          <w:marBottom w:val="0"/>
          <w:divBdr>
            <w:top w:val="none" w:sz="0" w:space="0" w:color="auto"/>
            <w:left w:val="none" w:sz="0" w:space="0" w:color="auto"/>
            <w:bottom w:val="none" w:sz="0" w:space="0" w:color="auto"/>
            <w:right w:val="none" w:sz="0" w:space="0" w:color="auto"/>
          </w:divBdr>
          <w:divsChild>
            <w:div w:id="2106919648">
              <w:marLeft w:val="0"/>
              <w:marRight w:val="0"/>
              <w:marTop w:val="0"/>
              <w:marBottom w:val="0"/>
              <w:divBdr>
                <w:top w:val="none" w:sz="0" w:space="0" w:color="auto"/>
                <w:left w:val="none" w:sz="0" w:space="0" w:color="auto"/>
                <w:bottom w:val="none" w:sz="0" w:space="0" w:color="auto"/>
                <w:right w:val="none" w:sz="0" w:space="0" w:color="auto"/>
              </w:divBdr>
              <w:divsChild>
                <w:div w:id="245309299">
                  <w:marLeft w:val="0"/>
                  <w:marRight w:val="0"/>
                  <w:marTop w:val="0"/>
                  <w:marBottom w:val="0"/>
                  <w:divBdr>
                    <w:top w:val="none" w:sz="0" w:space="0" w:color="auto"/>
                    <w:left w:val="none" w:sz="0" w:space="0" w:color="auto"/>
                    <w:bottom w:val="none" w:sz="0" w:space="0" w:color="auto"/>
                    <w:right w:val="none" w:sz="0" w:space="0" w:color="auto"/>
                  </w:divBdr>
                  <w:divsChild>
                    <w:div w:id="1404716534">
                      <w:marLeft w:val="0"/>
                      <w:marRight w:val="0"/>
                      <w:marTop w:val="0"/>
                      <w:marBottom w:val="0"/>
                      <w:divBdr>
                        <w:top w:val="none" w:sz="0" w:space="0" w:color="auto"/>
                        <w:left w:val="none" w:sz="0" w:space="0" w:color="auto"/>
                        <w:bottom w:val="none" w:sz="0" w:space="0" w:color="auto"/>
                        <w:right w:val="none" w:sz="0" w:space="0" w:color="auto"/>
                      </w:divBdr>
                      <w:divsChild>
                        <w:div w:id="1766995490">
                          <w:marLeft w:val="0"/>
                          <w:marRight w:val="0"/>
                          <w:marTop w:val="0"/>
                          <w:marBottom w:val="0"/>
                          <w:divBdr>
                            <w:top w:val="none" w:sz="0" w:space="0" w:color="auto"/>
                            <w:left w:val="none" w:sz="0" w:space="0" w:color="auto"/>
                            <w:bottom w:val="none" w:sz="0" w:space="0" w:color="auto"/>
                            <w:right w:val="none" w:sz="0" w:space="0" w:color="auto"/>
                          </w:divBdr>
                          <w:divsChild>
                            <w:div w:id="1040475312">
                              <w:marLeft w:val="0"/>
                              <w:marRight w:val="0"/>
                              <w:marTop w:val="0"/>
                              <w:marBottom w:val="0"/>
                              <w:divBdr>
                                <w:top w:val="none" w:sz="0" w:space="0" w:color="auto"/>
                                <w:left w:val="none" w:sz="0" w:space="0" w:color="auto"/>
                                <w:bottom w:val="none" w:sz="0" w:space="0" w:color="auto"/>
                                <w:right w:val="none" w:sz="0" w:space="0" w:color="auto"/>
                              </w:divBdr>
                              <w:divsChild>
                                <w:div w:id="24797182">
                                  <w:marLeft w:val="0"/>
                                  <w:marRight w:val="0"/>
                                  <w:marTop w:val="0"/>
                                  <w:marBottom w:val="0"/>
                                  <w:divBdr>
                                    <w:top w:val="none" w:sz="0" w:space="0" w:color="auto"/>
                                    <w:left w:val="none" w:sz="0" w:space="0" w:color="auto"/>
                                    <w:bottom w:val="none" w:sz="0" w:space="0" w:color="auto"/>
                                    <w:right w:val="none" w:sz="0" w:space="0" w:color="auto"/>
                                  </w:divBdr>
                                  <w:divsChild>
                                    <w:div w:id="156653644">
                                      <w:marLeft w:val="0"/>
                                      <w:marRight w:val="0"/>
                                      <w:marTop w:val="0"/>
                                      <w:marBottom w:val="0"/>
                                      <w:divBdr>
                                        <w:top w:val="none" w:sz="0" w:space="0" w:color="auto"/>
                                        <w:left w:val="none" w:sz="0" w:space="0" w:color="auto"/>
                                        <w:bottom w:val="none" w:sz="0" w:space="0" w:color="auto"/>
                                        <w:right w:val="none" w:sz="0" w:space="0" w:color="auto"/>
                                      </w:divBdr>
                                      <w:divsChild>
                                        <w:div w:id="1352606402">
                                          <w:marLeft w:val="0"/>
                                          <w:marRight w:val="0"/>
                                          <w:marTop w:val="0"/>
                                          <w:marBottom w:val="0"/>
                                          <w:divBdr>
                                            <w:top w:val="none" w:sz="0" w:space="0" w:color="auto"/>
                                            <w:left w:val="none" w:sz="0" w:space="0" w:color="auto"/>
                                            <w:bottom w:val="none" w:sz="0" w:space="0" w:color="auto"/>
                                            <w:right w:val="none" w:sz="0" w:space="0" w:color="auto"/>
                                          </w:divBdr>
                                          <w:divsChild>
                                            <w:div w:id="2086149364">
                                              <w:marLeft w:val="165"/>
                                              <w:marRight w:val="0"/>
                                              <w:marTop w:val="0"/>
                                              <w:marBottom w:val="0"/>
                                              <w:divBdr>
                                                <w:top w:val="none" w:sz="0" w:space="0" w:color="auto"/>
                                                <w:left w:val="none" w:sz="0" w:space="0" w:color="auto"/>
                                                <w:bottom w:val="none" w:sz="0" w:space="0" w:color="auto"/>
                                                <w:right w:val="none" w:sz="0" w:space="0" w:color="auto"/>
                                              </w:divBdr>
                                              <w:divsChild>
                                                <w:div w:id="471603415">
                                                  <w:marLeft w:val="0"/>
                                                  <w:marRight w:val="0"/>
                                                  <w:marTop w:val="180"/>
                                                  <w:marBottom w:val="0"/>
                                                  <w:divBdr>
                                                    <w:top w:val="none" w:sz="0" w:space="0" w:color="auto"/>
                                                    <w:left w:val="none" w:sz="0" w:space="0" w:color="auto"/>
                                                    <w:bottom w:val="none" w:sz="0" w:space="0" w:color="auto"/>
                                                    <w:right w:val="none" w:sz="0" w:space="0" w:color="auto"/>
                                                  </w:divBdr>
                                                  <w:divsChild>
                                                    <w:div w:id="787235725">
                                                      <w:marLeft w:val="0"/>
                                                      <w:marRight w:val="0"/>
                                                      <w:marTop w:val="0"/>
                                                      <w:marBottom w:val="0"/>
                                                      <w:divBdr>
                                                        <w:top w:val="none" w:sz="0" w:space="0" w:color="auto"/>
                                                        <w:left w:val="none" w:sz="0" w:space="0" w:color="auto"/>
                                                        <w:bottom w:val="none" w:sz="0" w:space="0" w:color="auto"/>
                                                        <w:right w:val="none" w:sz="0" w:space="0" w:color="auto"/>
                                                      </w:divBdr>
                                                      <w:divsChild>
                                                        <w:div w:id="815493496">
                                                          <w:marLeft w:val="0"/>
                                                          <w:marRight w:val="0"/>
                                                          <w:marTop w:val="180"/>
                                                          <w:marBottom w:val="0"/>
                                                          <w:divBdr>
                                                            <w:top w:val="none" w:sz="0" w:space="0" w:color="auto"/>
                                                            <w:left w:val="none" w:sz="0" w:space="0" w:color="auto"/>
                                                            <w:bottom w:val="none" w:sz="0" w:space="0" w:color="auto"/>
                                                            <w:right w:val="none" w:sz="0" w:space="0" w:color="auto"/>
                                                          </w:divBdr>
                                                          <w:divsChild>
                                                            <w:div w:id="1535773668">
                                                              <w:marLeft w:val="180"/>
                                                              <w:marRight w:val="0"/>
                                                              <w:marTop w:val="180"/>
                                                              <w:marBottom w:val="180"/>
                                                              <w:divBdr>
                                                                <w:top w:val="none" w:sz="0" w:space="0" w:color="auto"/>
                                                                <w:left w:val="none" w:sz="0" w:space="0" w:color="auto"/>
                                                                <w:bottom w:val="none" w:sz="0" w:space="0" w:color="auto"/>
                                                                <w:right w:val="none" w:sz="0" w:space="0" w:color="auto"/>
                                                              </w:divBdr>
                                                              <w:divsChild>
                                                                <w:div w:id="257179158">
                                                                  <w:marLeft w:val="0"/>
                                                                  <w:marRight w:val="0"/>
                                                                  <w:marTop w:val="0"/>
                                                                  <w:marBottom w:val="0"/>
                                                                  <w:divBdr>
                                                                    <w:top w:val="none" w:sz="0" w:space="0" w:color="auto"/>
                                                                    <w:left w:val="none" w:sz="0" w:space="0" w:color="auto"/>
                                                                    <w:bottom w:val="none" w:sz="0" w:space="0" w:color="auto"/>
                                                                    <w:right w:val="none" w:sz="0" w:space="0" w:color="auto"/>
                                                                  </w:divBdr>
                                                                  <w:divsChild>
                                                                    <w:div w:id="9860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FC70D-D38C-46DF-AEAD-C76B1602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77F66-C08B-4DDF-B487-BE707F0DE690}">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348A440E-EE8F-4A75-834A-59203D9F473D}">
  <ds:schemaRefs>
    <ds:schemaRef ds:uri="http://schemas.microsoft.com/sharepoint/v3/contenttype/forms"/>
  </ds:schemaRefs>
</ds:datastoreItem>
</file>

<file path=customXml/itemProps4.xml><?xml version="1.0" encoding="utf-8"?>
<ds:datastoreItem xmlns:ds="http://schemas.openxmlformats.org/officeDocument/2006/customXml" ds:itemID="{4EF7DF5C-3009-4E85-B39A-C5D23891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4</Pages>
  <Words>545</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 da plivalur per ulteriurs causals suttamess a la taxa da la vischnanca (art. 19j al. 2-3 LPTGR, art. 35i OPTGR)</dc:title>
  <dc:subject/>
  <dc:creator>Corina Caluori</dc:creator>
  <cp:keywords/>
  <dc:description/>
  <cp:lastModifiedBy>Cadosch Adrian</cp:lastModifiedBy>
  <cp:revision>4</cp:revision>
  <cp:lastPrinted>2019-10-21T12:38:00Z</cp:lastPrinted>
  <dcterms:created xsi:type="dcterms:W3CDTF">2023-02-01T06:41:00Z</dcterms:created>
  <dcterms:modified xsi:type="dcterms:W3CDTF">2024-12-03T07:20:00Z</dcterms:modified>
  <cp:category>Chaussas generalas, rapport da planisaziun e da cooperaziun e cunvegnas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