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7E" w:rsidRPr="00D10D7E" w:rsidRDefault="00DF3BF1" w:rsidP="00A601D0">
      <w:pPr>
        <w:pStyle w:val="CM13"/>
        <w:tabs>
          <w:tab w:val="left" w:pos="7797"/>
        </w:tabs>
        <w:spacing w:after="257"/>
        <w:ind w:right="1411"/>
        <w:rPr>
          <w:color w:val="211F20"/>
          <w:sz w:val="27"/>
          <w:szCs w:val="27"/>
          <w:lang w:val="de-CH"/>
        </w:rPr>
      </w:pPr>
      <w:r>
        <w:rPr>
          <w:b/>
          <w:bCs/>
          <w:noProof/>
          <w:color w:val="211F20"/>
          <w:sz w:val="27"/>
          <w:szCs w:val="27"/>
        </w:rPr>
        <w:drawing>
          <wp:inline distT="0" distB="0" distL="0" distR="0">
            <wp:extent cx="828675" cy="1143000"/>
            <wp:effectExtent l="19050" t="0" r="9525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D7E">
        <w:rPr>
          <w:b/>
          <w:bCs/>
          <w:color w:val="211F20"/>
          <w:sz w:val="27"/>
          <w:szCs w:val="27"/>
          <w:lang w:val="de-CH"/>
        </w:rPr>
        <w:tab/>
      </w:r>
      <w:r w:rsidR="00D10D7E" w:rsidRPr="00D10D7E">
        <w:rPr>
          <w:b/>
          <w:bCs/>
          <w:color w:val="211F20"/>
          <w:sz w:val="27"/>
          <w:szCs w:val="27"/>
          <w:lang w:val="de-CH"/>
        </w:rPr>
        <w:t>000.320</w:t>
      </w:r>
    </w:p>
    <w:p w:rsidR="00D10D7E" w:rsidRDefault="00D10D7E" w:rsidP="00D10D7E">
      <w:pPr>
        <w:pStyle w:val="CM14"/>
        <w:spacing w:after="492"/>
        <w:ind w:right="1411"/>
        <w:rPr>
          <w:rFonts w:ascii="Arial" w:hAnsi="Arial" w:cs="Arial"/>
          <w:b/>
          <w:bCs/>
          <w:sz w:val="25"/>
          <w:szCs w:val="25"/>
          <w:lang w:val="de-CH"/>
        </w:rPr>
      </w:pPr>
    </w:p>
    <w:p w:rsidR="00D10D7E" w:rsidRPr="00996367" w:rsidRDefault="00D10D7E" w:rsidP="00996367">
      <w:pPr>
        <w:pStyle w:val="CM15"/>
        <w:spacing w:before="240" w:after="240"/>
        <w:ind w:right="1412"/>
        <w:rPr>
          <w:rFonts w:ascii="Arial" w:hAnsi="Arial" w:cs="Arial"/>
          <w:b/>
          <w:sz w:val="28"/>
          <w:szCs w:val="28"/>
          <w:lang w:val="de-CH"/>
        </w:rPr>
      </w:pPr>
      <w:r w:rsidRPr="00996367">
        <w:rPr>
          <w:rFonts w:ascii="Arial" w:hAnsi="Arial" w:cs="Arial"/>
          <w:b/>
          <w:sz w:val="28"/>
          <w:szCs w:val="28"/>
          <w:lang w:val="de-CH"/>
        </w:rPr>
        <w:t>Reglement über die Bauberatung</w:t>
      </w:r>
    </w:p>
    <w:p w:rsidR="00D10D7E" w:rsidRPr="00A601D0" w:rsidRDefault="00D10D7E" w:rsidP="00996367">
      <w:pPr>
        <w:pStyle w:val="CM15"/>
        <w:spacing w:before="240" w:after="240"/>
        <w:ind w:right="1412"/>
        <w:rPr>
          <w:rFonts w:ascii="Arial" w:hAnsi="Arial" w:cs="Arial"/>
          <w:b/>
          <w:sz w:val="22"/>
          <w:szCs w:val="22"/>
          <w:lang w:val="de-CH"/>
        </w:rPr>
      </w:pPr>
      <w:r w:rsidRPr="00A601D0">
        <w:rPr>
          <w:rFonts w:ascii="Arial" w:hAnsi="Arial" w:cs="Arial"/>
          <w:b/>
          <w:sz w:val="22"/>
          <w:szCs w:val="22"/>
          <w:lang w:val="de-CH"/>
        </w:rPr>
        <w:t xml:space="preserve">I. Allgemeines </w:t>
      </w: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63"/>
        <w:gridCol w:w="1687"/>
      </w:tblGrid>
      <w:tr w:rsidR="00D10D7E" w:rsidTr="0066433D">
        <w:tc>
          <w:tcPr>
            <w:tcW w:w="7763" w:type="dxa"/>
          </w:tcPr>
          <w:p w:rsidR="00D10D7E" w:rsidRPr="00D10D7E" w:rsidRDefault="00D10D7E" w:rsidP="001C6D63">
            <w:pPr>
              <w:pStyle w:val="CM15"/>
              <w:spacing w:before="40" w:after="40"/>
              <w:ind w:right="34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D10D7E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Art. 1 </w:t>
            </w:r>
          </w:p>
          <w:p w:rsidR="00D10D7E" w:rsidRDefault="00D10D7E" w:rsidP="009C1755">
            <w:pPr>
              <w:pStyle w:val="CM15"/>
              <w:spacing w:before="40" w:after="40"/>
              <w:ind w:right="34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10D7E">
              <w:rPr>
                <w:rFonts w:ascii="Arial" w:hAnsi="Arial" w:cs="Arial"/>
                <w:sz w:val="22"/>
                <w:szCs w:val="22"/>
                <w:lang w:val="de-CH"/>
              </w:rPr>
              <w:t>Die Bauberatung hat eine gute Gestaltung einer Baute oder eines Bauko</w:t>
            </w:r>
            <w:r w:rsidRPr="00D10D7E">
              <w:rPr>
                <w:rFonts w:ascii="Arial" w:hAnsi="Arial" w:cs="Arial"/>
                <w:sz w:val="22"/>
                <w:szCs w:val="22"/>
                <w:lang w:val="de-CH"/>
              </w:rPr>
              <w:t>m</w:t>
            </w:r>
            <w:r w:rsidRPr="00D10D7E">
              <w:rPr>
                <w:rFonts w:ascii="Arial" w:hAnsi="Arial" w:cs="Arial"/>
                <w:sz w:val="22"/>
                <w:szCs w:val="22"/>
                <w:lang w:val="de-CH"/>
              </w:rPr>
              <w:t>plexes zum Ziel, namentlich in Bezug auf Aussehen, Funktionalität, Eingli</w:t>
            </w:r>
            <w:r w:rsidRPr="00D10D7E">
              <w:rPr>
                <w:rFonts w:ascii="Arial" w:hAnsi="Arial" w:cs="Arial"/>
                <w:sz w:val="22"/>
                <w:szCs w:val="22"/>
                <w:lang w:val="de-CH"/>
              </w:rPr>
              <w:t>e</w:t>
            </w:r>
            <w:r w:rsidRPr="00D10D7E">
              <w:rPr>
                <w:rFonts w:ascii="Arial" w:hAnsi="Arial" w:cs="Arial"/>
                <w:sz w:val="22"/>
                <w:szCs w:val="22"/>
                <w:lang w:val="de-CH"/>
              </w:rPr>
              <w:t>derung in das Ortsbild und Erschliessung sowie die Wahrung der Stan</w:t>
            </w:r>
            <w:r w:rsidRPr="00D10D7E">
              <w:rPr>
                <w:rFonts w:ascii="Arial" w:hAnsi="Arial" w:cs="Arial"/>
                <w:sz w:val="22"/>
                <w:szCs w:val="22"/>
                <w:lang w:val="de-CH"/>
              </w:rPr>
              <w:t>d</w:t>
            </w:r>
            <w:r w:rsidRPr="00D10D7E">
              <w:rPr>
                <w:rFonts w:ascii="Arial" w:hAnsi="Arial" w:cs="Arial"/>
                <w:sz w:val="22"/>
                <w:szCs w:val="22"/>
                <w:lang w:val="de-CH"/>
              </w:rPr>
              <w:t>ort-</w:t>
            </w:r>
            <w:r w:rsidR="001C6D63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Pr="00D10D7E">
              <w:rPr>
                <w:rFonts w:ascii="Arial" w:hAnsi="Arial" w:cs="Arial"/>
                <w:sz w:val="22"/>
                <w:szCs w:val="22"/>
                <w:lang w:val="de-CH"/>
              </w:rPr>
              <w:t>und SiedlungsenIwicklung im öffentlichen Interesse.</w:t>
            </w:r>
          </w:p>
        </w:tc>
        <w:tc>
          <w:tcPr>
            <w:tcW w:w="1687" w:type="dxa"/>
          </w:tcPr>
          <w:p w:rsidR="00D10D7E" w:rsidRPr="001C6D63" w:rsidRDefault="00D10D7E" w:rsidP="001C6D63">
            <w:pPr>
              <w:pStyle w:val="CM15"/>
              <w:spacing w:before="40" w:after="40"/>
              <w:ind w:right="34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  <w:p w:rsidR="00D10D7E" w:rsidRPr="00D10D7E" w:rsidRDefault="00D10D7E" w:rsidP="001C6D63">
            <w:pPr>
              <w:pStyle w:val="CM15"/>
              <w:spacing w:before="40" w:after="40"/>
              <w:ind w:right="34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1C6D63">
              <w:rPr>
                <w:rFonts w:ascii="Arial" w:hAnsi="Arial" w:cs="Arial"/>
                <w:b/>
                <w:sz w:val="22"/>
                <w:szCs w:val="22"/>
                <w:lang w:val="de-CH"/>
              </w:rPr>
              <w:t>Ziel/Zweck</w:t>
            </w:r>
          </w:p>
        </w:tc>
      </w:tr>
      <w:tr w:rsidR="00D10D7E" w:rsidTr="0066433D">
        <w:tc>
          <w:tcPr>
            <w:tcW w:w="7763" w:type="dxa"/>
          </w:tcPr>
          <w:p w:rsidR="00D10D7E" w:rsidRPr="00A601D0" w:rsidRDefault="00D10D7E" w:rsidP="001C6D63">
            <w:pPr>
              <w:pStyle w:val="CM16"/>
              <w:spacing w:before="40" w:after="40"/>
              <w:ind w:right="34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A601D0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Art. 2 </w:t>
            </w:r>
          </w:p>
          <w:p w:rsidR="00D10D7E" w:rsidRPr="00D10D7E" w:rsidRDefault="00D10D7E" w:rsidP="001C6D63">
            <w:pPr>
              <w:pStyle w:val="CM16"/>
              <w:spacing w:before="40" w:after="40"/>
              <w:ind w:right="34"/>
              <w:rPr>
                <w:rFonts w:ascii="Arial" w:hAnsi="Arial" w:cs="Arial"/>
                <w:color w:val="404040"/>
                <w:sz w:val="22"/>
                <w:szCs w:val="22"/>
                <w:lang w:val="de-CH"/>
              </w:rPr>
            </w:pPr>
            <w:r w:rsidRPr="00D10D7E">
              <w:rPr>
                <w:rFonts w:ascii="Arial" w:hAnsi="Arial" w:cs="Arial"/>
                <w:sz w:val="22"/>
                <w:szCs w:val="22"/>
                <w:lang w:val="de-CH"/>
              </w:rPr>
              <w:t>Die Baubehörde kann gestützt auf allgemeine Bestimmungen über die Ge</w:t>
            </w:r>
            <w:r w:rsidRPr="00D10D7E">
              <w:rPr>
                <w:rFonts w:ascii="Arial" w:hAnsi="Arial" w:cs="Arial"/>
                <w:sz w:val="22"/>
                <w:szCs w:val="22"/>
                <w:lang w:val="de-CH"/>
              </w:rPr>
              <w:t>s</w:t>
            </w:r>
            <w:r w:rsidRPr="00D10D7E">
              <w:rPr>
                <w:rFonts w:ascii="Arial" w:hAnsi="Arial" w:cs="Arial"/>
                <w:sz w:val="22"/>
                <w:szCs w:val="22"/>
                <w:lang w:val="de-CH"/>
              </w:rPr>
              <w:t>taltung und besondere Bestimmungen zu den Kernzonen Igis und Landquart eine Bauberatung beschliessen</w:t>
            </w:r>
            <w:r w:rsidRPr="00D10D7E">
              <w:rPr>
                <w:rFonts w:ascii="Arial" w:hAnsi="Arial" w:cs="Arial"/>
                <w:color w:val="404040"/>
                <w:sz w:val="22"/>
                <w:szCs w:val="22"/>
                <w:lang w:val="de-CH"/>
              </w:rPr>
              <w:t xml:space="preserve">. </w:t>
            </w:r>
          </w:p>
          <w:p w:rsidR="00D10D7E" w:rsidRPr="00D10D7E" w:rsidRDefault="00D10D7E" w:rsidP="001C6D63">
            <w:pPr>
              <w:pStyle w:val="CM16"/>
              <w:spacing w:before="40" w:after="40"/>
              <w:ind w:right="34"/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</w:pPr>
            <w:r w:rsidRPr="00D10D7E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Das Baugesetz verlangt in den Art. 19 (Urbane Zone) und 20 (Campus Z</w:t>
            </w:r>
            <w:r w:rsidRPr="00D10D7E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o</w:t>
            </w:r>
            <w:r w:rsidRPr="00D10D7E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 xml:space="preserve">ne) obligatorisch eine Bauberatung. </w:t>
            </w:r>
          </w:p>
          <w:p w:rsidR="00D10D7E" w:rsidRPr="00D10D7E" w:rsidRDefault="00D10D7E" w:rsidP="001C6D63">
            <w:pPr>
              <w:pStyle w:val="CM16"/>
              <w:spacing w:before="40" w:after="40"/>
              <w:ind w:right="34"/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</w:pPr>
            <w:r w:rsidRPr="00D10D7E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 xml:space="preserve">Der Gemeindevorstand legt Quartiergestaltungspläne dem Experten </w:t>
            </w:r>
            <w:r w:rsidRPr="00D10D7E">
              <w:rPr>
                <w:rFonts w:ascii="Arial" w:hAnsi="Arial" w:cs="Arial"/>
                <w:color w:val="404040"/>
                <w:sz w:val="22"/>
                <w:szCs w:val="22"/>
                <w:lang w:val="de-CH"/>
              </w:rPr>
              <w:t>z</w:t>
            </w:r>
            <w:r w:rsidRPr="00D10D7E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ur Be</w:t>
            </w:r>
            <w:r w:rsidR="001C6D63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softHyphen/>
            </w:r>
            <w:r w:rsidRPr="00D10D7E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gutachtung vor (Art</w:t>
            </w:r>
            <w:r w:rsidRPr="00D10D7E">
              <w:rPr>
                <w:rFonts w:ascii="Arial" w:hAnsi="Arial" w:cs="Arial"/>
                <w:color w:val="040404"/>
                <w:sz w:val="22"/>
                <w:szCs w:val="22"/>
                <w:lang w:val="de-CH"/>
              </w:rPr>
              <w:t xml:space="preserve">. </w:t>
            </w:r>
            <w:r w:rsidRPr="00D10D7E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 xml:space="preserve">35 BauG). </w:t>
            </w:r>
          </w:p>
          <w:p w:rsidR="00D10D7E" w:rsidRDefault="00D10D7E" w:rsidP="001C6D63">
            <w:pPr>
              <w:pStyle w:val="CM14"/>
              <w:spacing w:before="40" w:after="40"/>
              <w:ind w:right="34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10D7E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Das KRG (Art. 73 Abs</w:t>
            </w:r>
            <w:r w:rsidRPr="00D10D7E">
              <w:rPr>
                <w:rFonts w:ascii="Arial" w:hAnsi="Arial" w:cs="Arial"/>
                <w:color w:val="404040"/>
                <w:sz w:val="22"/>
                <w:szCs w:val="22"/>
                <w:lang w:val="de-CH"/>
              </w:rPr>
              <w:t xml:space="preserve">. </w:t>
            </w:r>
            <w:r w:rsidRPr="00D10D7E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1 KRG) sieht die Bauberatung in gesetzlich vorgege</w:t>
            </w:r>
            <w:r w:rsidR="001C6D63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softHyphen/>
            </w:r>
            <w:r w:rsidRPr="00D10D7E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 xml:space="preserve">benen Fällen ausdrücklich vor. </w:t>
            </w:r>
          </w:p>
        </w:tc>
        <w:tc>
          <w:tcPr>
            <w:tcW w:w="1687" w:type="dxa"/>
          </w:tcPr>
          <w:p w:rsidR="00A601D0" w:rsidRPr="001C6D63" w:rsidRDefault="00A601D0" w:rsidP="001C6D63">
            <w:pPr>
              <w:pStyle w:val="CM15"/>
              <w:spacing w:before="40" w:after="40"/>
              <w:ind w:right="34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  <w:p w:rsidR="00D10D7E" w:rsidRPr="00A601D0" w:rsidRDefault="00A601D0" w:rsidP="001C6D63">
            <w:pPr>
              <w:pStyle w:val="CM15"/>
              <w:spacing w:before="40" w:after="40"/>
              <w:ind w:right="34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1C6D63">
              <w:rPr>
                <w:rFonts w:ascii="Arial" w:hAnsi="Arial" w:cs="Arial"/>
                <w:b/>
                <w:sz w:val="22"/>
                <w:szCs w:val="22"/>
                <w:lang w:val="de-CH"/>
              </w:rPr>
              <w:t>Gesetzliche Grundlagen</w:t>
            </w:r>
          </w:p>
        </w:tc>
      </w:tr>
    </w:tbl>
    <w:p w:rsidR="00D10D7E" w:rsidRPr="00A601D0" w:rsidRDefault="00A601D0" w:rsidP="00996367">
      <w:pPr>
        <w:pStyle w:val="CM15"/>
        <w:spacing w:before="240" w:after="240"/>
        <w:ind w:right="1412"/>
        <w:rPr>
          <w:rFonts w:ascii="Arial" w:hAnsi="Arial" w:cs="Arial"/>
          <w:b/>
          <w:sz w:val="22"/>
          <w:szCs w:val="22"/>
          <w:lang w:val="de-CH"/>
        </w:rPr>
      </w:pPr>
      <w:r w:rsidRPr="00A601D0">
        <w:rPr>
          <w:rFonts w:ascii="Arial" w:hAnsi="Arial" w:cs="Arial"/>
          <w:b/>
          <w:sz w:val="22"/>
          <w:szCs w:val="22"/>
          <w:lang w:val="de-CH"/>
        </w:rPr>
        <w:t>II</w:t>
      </w:r>
      <w:r w:rsidR="00D10D7E" w:rsidRPr="00A601D0">
        <w:rPr>
          <w:rFonts w:ascii="Arial" w:hAnsi="Arial" w:cs="Arial"/>
          <w:b/>
          <w:sz w:val="22"/>
          <w:szCs w:val="22"/>
          <w:lang w:val="de-CH"/>
        </w:rPr>
        <w:t xml:space="preserve">. Inhalt und Ablauf </w:t>
      </w:r>
    </w:p>
    <w:tbl>
      <w:tblPr>
        <w:tblStyle w:val="Tabellengitternetz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63"/>
        <w:gridCol w:w="1701"/>
      </w:tblGrid>
      <w:tr w:rsidR="001C6D63" w:rsidTr="00996367">
        <w:tc>
          <w:tcPr>
            <w:tcW w:w="7763" w:type="dxa"/>
          </w:tcPr>
          <w:p w:rsidR="001C6D63" w:rsidRPr="001C6D63" w:rsidRDefault="001C6D63" w:rsidP="001C6D63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  <w:r w:rsidRPr="001C6D63"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 xml:space="preserve">Art. 3 </w:t>
            </w:r>
          </w:p>
          <w:p w:rsidR="001C6D63" w:rsidRPr="005126E0" w:rsidRDefault="001C6D63" w:rsidP="001C6D63">
            <w:pPr>
              <w:pStyle w:val="Default"/>
              <w:spacing w:before="40" w:after="40"/>
              <w:ind w:right="34"/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 xml:space="preserve">Die Bauberatung erfolgt durch das Bauamt, die Baukommission oder einen beauftragten Bauberater. </w:t>
            </w:r>
          </w:p>
          <w:p w:rsidR="001C6D63" w:rsidRPr="005126E0" w:rsidRDefault="001C6D63" w:rsidP="005126E0">
            <w:pPr>
              <w:pStyle w:val="Default"/>
              <w:spacing w:before="40" w:after="40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Die Bauberatung hat zur Aufgabe, die seitens der Bauherrschaft konz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i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pierten Entwürfe auf ihre Übereinstimmung mit einer guten Gestaltung und Sie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d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lungsentwicklung gemäss Ziffer 1 zu überprüfen und die Bau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softHyphen/>
              <w:t>herrschaft d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a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hingehend zu beraten.</w:t>
            </w:r>
            <w:r w:rsidRPr="005126E0"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1701" w:type="dxa"/>
          </w:tcPr>
          <w:p w:rsidR="001C6D63" w:rsidRPr="001C6D63" w:rsidRDefault="001C6D63" w:rsidP="001C6D63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</w:p>
          <w:p w:rsidR="001C6D63" w:rsidRPr="001C6D63" w:rsidRDefault="001C6D63" w:rsidP="001C6D63">
            <w:pPr>
              <w:pStyle w:val="CM5"/>
              <w:spacing w:before="40" w:after="40" w:line="240" w:lineRule="auto"/>
              <w:ind w:left="34"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  <w:r w:rsidRPr="001C6D63"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>Grundsatz</w:t>
            </w:r>
          </w:p>
        </w:tc>
      </w:tr>
      <w:tr w:rsidR="001C6D63" w:rsidTr="00996367">
        <w:tc>
          <w:tcPr>
            <w:tcW w:w="7763" w:type="dxa"/>
          </w:tcPr>
          <w:p w:rsidR="005126E0" w:rsidRPr="005126E0" w:rsidRDefault="005126E0" w:rsidP="005126E0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 xml:space="preserve">Art. 4 </w:t>
            </w:r>
          </w:p>
          <w:p w:rsidR="005126E0" w:rsidRPr="005126E0" w:rsidRDefault="005126E0" w:rsidP="005126E0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Der Bauherr kann vor Erarbeitung eines Bauvorhabens eine Beratung über die baugesetzlichen Vorgaben von Landquart in Anspruch neh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softHyphen/>
              <w:t xml:space="preserve">men. </w:t>
            </w:r>
          </w:p>
          <w:p w:rsidR="005126E0" w:rsidRPr="005126E0" w:rsidRDefault="005126E0" w:rsidP="005126E0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Die Bauberatung besteht in einer Siedlungs-, Situations-und einer Ob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softHyphen/>
              <w:t xml:space="preserve">jektanalyse. </w:t>
            </w:r>
          </w:p>
          <w:p w:rsidR="001C6D63" w:rsidRPr="005126E0" w:rsidRDefault="005126E0" w:rsidP="005126E0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In der Siedlungsanalyse wird das Bauvorhaben in Bezug auf die Auswirku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n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gen auf den Standort hinsichtlich räumlicher Gestaltung und Nutzung begu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t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achtet. Die Situationsanalyse vergleicht das Bauvorhaben mit der n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ä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heren und weiteren U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m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gebung. Die Objektanalyse dient der Überprüfung der Baute als solche, insbesondere die ortstypische Bauweise.</w:t>
            </w:r>
            <w:r w:rsidRPr="005126E0"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1701" w:type="dxa"/>
          </w:tcPr>
          <w:p w:rsidR="005126E0" w:rsidRPr="005126E0" w:rsidRDefault="005126E0" w:rsidP="001C6D63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</w:p>
          <w:p w:rsidR="001C6D63" w:rsidRPr="001C6D63" w:rsidRDefault="005126E0" w:rsidP="001C6D63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>Vorgehen</w:t>
            </w:r>
            <w:r w:rsidRPr="005126E0"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>s</w:t>
            </w:r>
            <w:r w:rsidRPr="005126E0"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>weise</w:t>
            </w:r>
          </w:p>
        </w:tc>
      </w:tr>
      <w:tr w:rsidR="001C6D63" w:rsidTr="00996367">
        <w:tc>
          <w:tcPr>
            <w:tcW w:w="7763" w:type="dxa"/>
          </w:tcPr>
          <w:p w:rsidR="005126E0" w:rsidRPr="005126E0" w:rsidRDefault="005126E0" w:rsidP="005126E0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 xml:space="preserve">Art. 5 </w:t>
            </w:r>
          </w:p>
          <w:p w:rsidR="001C6D63" w:rsidRPr="005126E0" w:rsidRDefault="005126E0" w:rsidP="005126E0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Anhand der Analyse beurteilt der Bauberater die Kriterien g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e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mäss Anhang 1. Er gibt zuhanden der Baubewilligung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s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behörde eine Stellungnahme ab. Die Entwurfs-</w:t>
            </w:r>
            <w:r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 xml:space="preserve"> 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und Planungsarbeit ve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r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 xml:space="preserve">bleibt in jedem Fall bei der Bauherrschaft. </w:t>
            </w:r>
          </w:p>
        </w:tc>
        <w:tc>
          <w:tcPr>
            <w:tcW w:w="1701" w:type="dxa"/>
          </w:tcPr>
          <w:p w:rsidR="001C6D63" w:rsidRDefault="001C6D63" w:rsidP="001C6D63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</w:p>
          <w:p w:rsidR="005126E0" w:rsidRPr="005126E0" w:rsidRDefault="005126E0" w:rsidP="005126E0">
            <w:pPr>
              <w:pStyle w:val="Default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>Kriterien</w:t>
            </w:r>
          </w:p>
        </w:tc>
      </w:tr>
    </w:tbl>
    <w:p w:rsidR="00996367" w:rsidRDefault="00996367">
      <w:r>
        <w:br w:type="page"/>
      </w:r>
    </w:p>
    <w:tbl>
      <w:tblPr>
        <w:tblStyle w:val="Tabellengitternetz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63"/>
        <w:gridCol w:w="1701"/>
      </w:tblGrid>
      <w:tr w:rsidR="001C6D63" w:rsidTr="00996367">
        <w:tc>
          <w:tcPr>
            <w:tcW w:w="7763" w:type="dxa"/>
          </w:tcPr>
          <w:p w:rsidR="005126E0" w:rsidRPr="005126E0" w:rsidRDefault="005126E0" w:rsidP="005126E0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 xml:space="preserve">Art. 6 </w:t>
            </w:r>
          </w:p>
          <w:p w:rsidR="001C6D63" w:rsidRPr="005126E0" w:rsidRDefault="005126E0" w:rsidP="005126E0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Die Gemeinde kann mit der Bauherrschaft einen verwaltungsrechtlichen Vertrag abschliessen. Dieser kann das Verfahren regeln und konkrete Au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f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 xml:space="preserve">gaben beinhalten. </w:t>
            </w:r>
          </w:p>
        </w:tc>
        <w:tc>
          <w:tcPr>
            <w:tcW w:w="1701" w:type="dxa"/>
          </w:tcPr>
          <w:p w:rsidR="005126E0" w:rsidRDefault="005126E0" w:rsidP="001C6D63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</w:p>
          <w:p w:rsidR="001C6D63" w:rsidRPr="001C6D63" w:rsidRDefault="005126E0" w:rsidP="001C6D63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>Verwa</w:t>
            </w:r>
            <w:r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>l</w:t>
            </w:r>
            <w:r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>tungs</w:t>
            </w:r>
            <w:r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softHyphen/>
              <w:t>rech</w:t>
            </w:r>
            <w:r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>t</w:t>
            </w:r>
            <w:r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>licher Vertrag</w:t>
            </w:r>
          </w:p>
        </w:tc>
      </w:tr>
      <w:tr w:rsidR="001C6D63" w:rsidTr="00996367">
        <w:tc>
          <w:tcPr>
            <w:tcW w:w="7763" w:type="dxa"/>
          </w:tcPr>
          <w:p w:rsidR="005126E0" w:rsidRPr="005126E0" w:rsidRDefault="005126E0" w:rsidP="005126E0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 xml:space="preserve">Art. 7 </w:t>
            </w:r>
          </w:p>
          <w:p w:rsidR="001C6D63" w:rsidRPr="005126E0" w:rsidRDefault="005126E0" w:rsidP="005126E0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 xml:space="preserve">Der Ablauf der Projektentwicklung folgt dem Grundsatz nach dem Schema gemäss Anhang 2. </w:t>
            </w:r>
          </w:p>
        </w:tc>
        <w:tc>
          <w:tcPr>
            <w:tcW w:w="1701" w:type="dxa"/>
          </w:tcPr>
          <w:p w:rsidR="001C6D63" w:rsidRDefault="001C6D63" w:rsidP="001C6D63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</w:p>
          <w:p w:rsidR="005126E0" w:rsidRPr="005126E0" w:rsidRDefault="005126E0" w:rsidP="005126E0">
            <w:pPr>
              <w:pStyle w:val="Default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>Ablauf</w:t>
            </w:r>
          </w:p>
        </w:tc>
      </w:tr>
      <w:tr w:rsidR="001C6D63" w:rsidTr="00996367">
        <w:tc>
          <w:tcPr>
            <w:tcW w:w="7763" w:type="dxa"/>
          </w:tcPr>
          <w:p w:rsidR="005126E0" w:rsidRPr="005126E0" w:rsidRDefault="005126E0" w:rsidP="005126E0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 xml:space="preserve">Art. 8 </w:t>
            </w:r>
          </w:p>
          <w:p w:rsidR="001C6D63" w:rsidRPr="005126E0" w:rsidRDefault="005126E0" w:rsidP="005126E0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Die Kosten der Bauberatung werden gemäss Baugesetz e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r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 xml:space="preserve">hoben. </w:t>
            </w:r>
          </w:p>
        </w:tc>
        <w:tc>
          <w:tcPr>
            <w:tcW w:w="1701" w:type="dxa"/>
          </w:tcPr>
          <w:p w:rsidR="001C6D63" w:rsidRDefault="001C6D63" w:rsidP="001C6D63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</w:p>
          <w:p w:rsidR="005126E0" w:rsidRPr="005126E0" w:rsidRDefault="005126E0" w:rsidP="005126E0">
            <w:pPr>
              <w:pStyle w:val="Default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>Kosten</w:t>
            </w:r>
          </w:p>
        </w:tc>
      </w:tr>
    </w:tbl>
    <w:p w:rsidR="005126E0" w:rsidRPr="005126E0" w:rsidRDefault="005126E0" w:rsidP="00996367">
      <w:pPr>
        <w:pStyle w:val="CM15"/>
        <w:spacing w:before="240" w:after="240"/>
        <w:ind w:right="1412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III. Schlussbestimmungen</w:t>
      </w:r>
    </w:p>
    <w:tbl>
      <w:tblPr>
        <w:tblStyle w:val="Tabellengitternetz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63"/>
        <w:gridCol w:w="1701"/>
      </w:tblGrid>
      <w:tr w:rsidR="001C6D63" w:rsidRPr="005126E0" w:rsidTr="00996367">
        <w:tc>
          <w:tcPr>
            <w:tcW w:w="7763" w:type="dxa"/>
          </w:tcPr>
          <w:p w:rsidR="005126E0" w:rsidRPr="005126E0" w:rsidRDefault="005126E0" w:rsidP="005126E0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 xml:space="preserve">Art. 9 </w:t>
            </w:r>
          </w:p>
          <w:p w:rsidR="001C6D63" w:rsidRPr="005126E0" w:rsidRDefault="005126E0" w:rsidP="005126E0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Mit Beschluss vom 13. Dezember 2012 setzt der Gemeindevorstand Inkraf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t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treten das Re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>g</w:t>
            </w:r>
            <w:r w:rsidR="00996367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 xml:space="preserve">lement auf den </w:t>
            </w:r>
            <w:r w:rsidRPr="005126E0">
              <w:rPr>
                <w:rFonts w:ascii="Arial" w:hAnsi="Arial" w:cs="Arial"/>
                <w:color w:val="211F20"/>
                <w:sz w:val="22"/>
                <w:szCs w:val="22"/>
                <w:lang w:val="de-CH"/>
              </w:rPr>
              <w:t xml:space="preserve">1. Januar 2013 in Kraft. </w:t>
            </w:r>
          </w:p>
        </w:tc>
        <w:tc>
          <w:tcPr>
            <w:tcW w:w="1701" w:type="dxa"/>
          </w:tcPr>
          <w:p w:rsidR="001C6D63" w:rsidRDefault="001C6D63" w:rsidP="001C6D63">
            <w:pPr>
              <w:pStyle w:val="CM5"/>
              <w:spacing w:before="40" w:after="40" w:line="240" w:lineRule="auto"/>
              <w:ind w:right="34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</w:p>
          <w:p w:rsidR="005126E0" w:rsidRPr="005126E0" w:rsidRDefault="005126E0" w:rsidP="005126E0">
            <w:pPr>
              <w:pStyle w:val="Default"/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</w:pPr>
            <w:r w:rsidRPr="005126E0">
              <w:rPr>
                <w:rFonts w:ascii="Arial" w:hAnsi="Arial" w:cs="Arial"/>
                <w:b/>
                <w:color w:val="211F20"/>
                <w:sz w:val="22"/>
                <w:szCs w:val="22"/>
                <w:lang w:val="de-CH"/>
              </w:rPr>
              <w:t>Inkrafttreten</w:t>
            </w:r>
          </w:p>
        </w:tc>
      </w:tr>
    </w:tbl>
    <w:p w:rsidR="005126E0" w:rsidRDefault="005126E0" w:rsidP="005126E0">
      <w:pPr>
        <w:pStyle w:val="Default"/>
        <w:spacing w:line="796" w:lineRule="atLeast"/>
        <w:ind w:right="1411"/>
        <w:rPr>
          <w:rFonts w:ascii="Arial" w:hAnsi="Arial" w:cs="Arial"/>
          <w:color w:val="484848"/>
          <w:sz w:val="22"/>
          <w:szCs w:val="22"/>
          <w:lang w:val="de-CH"/>
        </w:rPr>
      </w:pPr>
      <w:r w:rsidRPr="00D10D7E">
        <w:rPr>
          <w:rFonts w:ascii="Arial" w:hAnsi="Arial" w:cs="Arial"/>
          <w:color w:val="201F20"/>
          <w:sz w:val="22"/>
          <w:szCs w:val="22"/>
          <w:lang w:val="de-CH"/>
        </w:rPr>
        <w:t>Für den Gemeindevorstand</w:t>
      </w:r>
      <w:r w:rsidRPr="00D10D7E">
        <w:rPr>
          <w:rFonts w:ascii="Arial" w:hAnsi="Arial" w:cs="Arial"/>
          <w:color w:val="484848"/>
          <w:sz w:val="22"/>
          <w:szCs w:val="22"/>
          <w:lang w:val="de-CH"/>
        </w:rPr>
        <w:t xml:space="preserve">: </w:t>
      </w:r>
    </w:p>
    <w:p w:rsidR="005126E0" w:rsidRDefault="005126E0" w:rsidP="005126E0">
      <w:pPr>
        <w:pStyle w:val="Default"/>
        <w:spacing w:line="796" w:lineRule="atLeast"/>
        <w:ind w:right="1411"/>
        <w:rPr>
          <w:rFonts w:ascii="Arial" w:hAnsi="Arial" w:cs="Arial"/>
          <w:color w:val="201F20"/>
          <w:sz w:val="22"/>
          <w:szCs w:val="22"/>
          <w:lang w:val="de-CH"/>
        </w:rPr>
      </w:pPr>
      <w:r w:rsidRPr="00D10D7E">
        <w:rPr>
          <w:rFonts w:ascii="Arial" w:hAnsi="Arial" w:cs="Arial"/>
          <w:color w:val="201F20"/>
          <w:sz w:val="22"/>
          <w:szCs w:val="22"/>
          <w:lang w:val="de-CH"/>
        </w:rPr>
        <w:t>Der Statthalter: S</w:t>
      </w:r>
      <w:r w:rsidRPr="00D10D7E">
        <w:rPr>
          <w:rFonts w:ascii="Arial" w:hAnsi="Arial" w:cs="Arial"/>
          <w:color w:val="484848"/>
          <w:sz w:val="22"/>
          <w:szCs w:val="22"/>
          <w:lang w:val="de-CH"/>
        </w:rPr>
        <w:t xml:space="preserve">. </w:t>
      </w:r>
      <w:r w:rsidRPr="00D10D7E">
        <w:rPr>
          <w:rFonts w:ascii="Arial" w:hAnsi="Arial" w:cs="Arial"/>
          <w:color w:val="201F20"/>
          <w:sz w:val="22"/>
          <w:szCs w:val="22"/>
          <w:lang w:val="de-CH"/>
        </w:rPr>
        <w:t xml:space="preserve">Föhn </w:t>
      </w:r>
    </w:p>
    <w:p w:rsidR="005126E0" w:rsidRPr="00D10D7E" w:rsidRDefault="005126E0" w:rsidP="005126E0">
      <w:pPr>
        <w:pStyle w:val="Default"/>
        <w:spacing w:line="796" w:lineRule="atLeast"/>
        <w:ind w:right="1411"/>
        <w:rPr>
          <w:rFonts w:ascii="Arial" w:hAnsi="Arial" w:cs="Arial"/>
          <w:color w:val="201F20"/>
          <w:sz w:val="22"/>
          <w:szCs w:val="22"/>
          <w:lang w:val="de-CH"/>
        </w:rPr>
      </w:pPr>
      <w:r w:rsidRPr="00D10D7E">
        <w:rPr>
          <w:rFonts w:ascii="Arial" w:hAnsi="Arial" w:cs="Arial"/>
          <w:color w:val="201F20"/>
          <w:sz w:val="22"/>
          <w:szCs w:val="22"/>
          <w:lang w:val="de-CH"/>
        </w:rPr>
        <w:t xml:space="preserve">Der Gemeindeschreiber: F. Niggli </w:t>
      </w:r>
    </w:p>
    <w:p w:rsidR="005126E0" w:rsidRDefault="005126E0" w:rsidP="001C6D63">
      <w:pPr>
        <w:pStyle w:val="Default"/>
        <w:rPr>
          <w:lang w:val="de-CH"/>
        </w:rPr>
      </w:pPr>
    </w:p>
    <w:p w:rsidR="001C6D63" w:rsidRPr="001C6D63" w:rsidRDefault="001C6D63" w:rsidP="001C6D63">
      <w:pPr>
        <w:pStyle w:val="Default"/>
        <w:rPr>
          <w:lang w:val="de-CH"/>
        </w:rPr>
        <w:sectPr w:rsidR="001C6D63" w:rsidRPr="001C6D63" w:rsidSect="00743859">
          <w:headerReference w:type="default" r:id="rId8"/>
          <w:pgSz w:w="11973" w:h="16891"/>
          <w:pgMar w:top="522" w:right="306" w:bottom="567" w:left="1440" w:header="720" w:footer="720" w:gutter="0"/>
          <w:cols w:space="720"/>
          <w:noEndnote/>
          <w:titlePg/>
          <w:docGrid w:linePitch="299"/>
        </w:sectPr>
      </w:pPr>
    </w:p>
    <w:p w:rsidR="00743859" w:rsidRPr="00743859" w:rsidRDefault="00D10D7E" w:rsidP="00743859">
      <w:pPr>
        <w:pStyle w:val="CM13"/>
        <w:spacing w:after="257" w:line="266" w:lineRule="atLeast"/>
        <w:ind w:right="1411"/>
        <w:rPr>
          <w:rFonts w:ascii="Arial" w:hAnsi="Arial" w:cs="Arial"/>
          <w:b/>
          <w:color w:val="222020"/>
          <w:sz w:val="22"/>
          <w:szCs w:val="22"/>
          <w:lang w:val="de-CH"/>
        </w:rPr>
      </w:pPr>
      <w:r w:rsidRPr="00743859">
        <w:rPr>
          <w:rFonts w:ascii="Arial" w:hAnsi="Arial" w:cs="Arial"/>
          <w:b/>
          <w:color w:val="222020"/>
          <w:sz w:val="22"/>
          <w:szCs w:val="22"/>
          <w:lang w:val="de-CH"/>
        </w:rPr>
        <w:t xml:space="preserve">Anhang 1 </w:t>
      </w:r>
    </w:p>
    <w:p w:rsidR="00D10D7E" w:rsidRPr="00D10D7E" w:rsidRDefault="00D10D7E" w:rsidP="00996367">
      <w:pPr>
        <w:pStyle w:val="CM13"/>
        <w:spacing w:after="240"/>
        <w:ind w:right="1412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Liste der Anforderungen und Kriterien für die Bauberatung betreffend Siedlungs</w:t>
      </w:r>
      <w:r w:rsidRPr="00D10D7E">
        <w:rPr>
          <w:rFonts w:ascii="Arial" w:hAnsi="Arial" w:cs="Arial"/>
          <w:color w:val="444343"/>
          <w:sz w:val="22"/>
          <w:szCs w:val="22"/>
          <w:lang w:val="de-CH"/>
        </w:rPr>
        <w:t>-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, Situat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i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ons-</w:t>
      </w:r>
      <w:r w:rsidR="00743859">
        <w:rPr>
          <w:rFonts w:ascii="Arial" w:hAnsi="Arial" w:cs="Arial"/>
          <w:color w:val="222020"/>
          <w:sz w:val="22"/>
          <w:szCs w:val="22"/>
          <w:lang w:val="de-CH"/>
        </w:rPr>
        <w:t xml:space="preserve"> 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und Objektanalyse (Vorgehensweise). </w:t>
      </w:r>
    </w:p>
    <w:p w:rsidR="00D10D7E" w:rsidRPr="00743859" w:rsidRDefault="00D10D7E" w:rsidP="00743859">
      <w:pPr>
        <w:pStyle w:val="CM8"/>
        <w:ind w:right="1411"/>
        <w:rPr>
          <w:rFonts w:ascii="Arial" w:hAnsi="Arial" w:cs="Arial"/>
          <w:b/>
          <w:color w:val="222020"/>
          <w:sz w:val="22"/>
          <w:szCs w:val="22"/>
          <w:lang w:val="de-CH"/>
        </w:rPr>
      </w:pPr>
      <w:r w:rsidRPr="00743859">
        <w:rPr>
          <w:rFonts w:ascii="Arial" w:hAnsi="Arial" w:cs="Arial"/>
          <w:b/>
          <w:color w:val="222020"/>
          <w:sz w:val="22"/>
          <w:szCs w:val="22"/>
          <w:lang w:val="de-CH"/>
        </w:rPr>
        <w:t>Kriterien zur Siedlungsanalyse</w:t>
      </w:r>
      <w:r w:rsidR="00743859">
        <w:rPr>
          <w:rFonts w:ascii="Arial" w:hAnsi="Arial" w:cs="Arial"/>
          <w:b/>
          <w:color w:val="222020"/>
          <w:sz w:val="22"/>
          <w:szCs w:val="22"/>
          <w:lang w:val="de-CH"/>
        </w:rPr>
        <w:t>:</w:t>
      </w:r>
    </w:p>
    <w:p w:rsidR="00743859" w:rsidRPr="00743859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-Räumliche Einbeltung in die Siedlung</w:t>
      </w:r>
      <w:r w:rsidRPr="00D10D7E">
        <w:rPr>
          <w:rFonts w:ascii="Arial" w:hAnsi="Arial" w:cs="Arial"/>
          <w:color w:val="444343"/>
          <w:sz w:val="22"/>
          <w:szCs w:val="22"/>
          <w:lang w:val="de-CH"/>
        </w:rPr>
        <w:t xml:space="preserve">. </w:t>
      </w:r>
    </w:p>
    <w:p w:rsidR="00743859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Beitrag an den öffentlichen Raum. </w:t>
      </w:r>
    </w:p>
    <w:p w:rsidR="00743859" w:rsidRPr="00743859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Beitrag betreffend siedlungsentwicklerische Ziele</w:t>
      </w:r>
      <w:r w:rsidRPr="00D10D7E">
        <w:rPr>
          <w:rFonts w:ascii="Arial" w:hAnsi="Arial" w:cs="Arial"/>
          <w:color w:val="444343"/>
          <w:sz w:val="22"/>
          <w:szCs w:val="22"/>
          <w:lang w:val="de-CH"/>
        </w:rPr>
        <w:t xml:space="preserve">. </w:t>
      </w:r>
    </w:p>
    <w:p w:rsidR="00743859" w:rsidRPr="00743859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Projekt soll keine unerwünschten Entwicklungen des Standortes aus</w:t>
      </w:r>
      <w:r w:rsidRPr="00D10D7E">
        <w:rPr>
          <w:rFonts w:ascii="Arial" w:hAnsi="Arial" w:cs="Arial"/>
          <w:color w:val="444343"/>
          <w:sz w:val="22"/>
          <w:szCs w:val="22"/>
          <w:lang w:val="de-CH"/>
        </w:rPr>
        <w:softHyphen/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lösen</w:t>
      </w:r>
      <w:r w:rsidRPr="00D10D7E">
        <w:rPr>
          <w:rFonts w:ascii="Arial" w:hAnsi="Arial" w:cs="Arial"/>
          <w:color w:val="444343"/>
          <w:sz w:val="22"/>
          <w:szCs w:val="22"/>
          <w:lang w:val="de-CH"/>
        </w:rPr>
        <w:t xml:space="preserve">. </w:t>
      </w:r>
    </w:p>
    <w:p w:rsidR="00743859" w:rsidRPr="00743859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Einbindung in den Verkehr (öffentlicher Verkehr, Individualverkehr, Parkierung</w:t>
      </w:r>
      <w:r w:rsidRPr="00D10D7E">
        <w:rPr>
          <w:rFonts w:ascii="Arial" w:hAnsi="Arial" w:cs="Arial"/>
          <w:color w:val="444343"/>
          <w:sz w:val="22"/>
          <w:szCs w:val="22"/>
          <w:lang w:val="de-CH"/>
        </w:rPr>
        <w:t xml:space="preserve">, 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Lan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g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samverkehr)</w:t>
      </w:r>
      <w:r w:rsidRPr="00D10D7E">
        <w:rPr>
          <w:rFonts w:ascii="Arial" w:hAnsi="Arial" w:cs="Arial"/>
          <w:color w:val="060606"/>
          <w:sz w:val="22"/>
          <w:szCs w:val="22"/>
          <w:lang w:val="de-CH"/>
        </w:rPr>
        <w:t xml:space="preserve">. </w:t>
      </w:r>
    </w:p>
    <w:p w:rsidR="00D10D7E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Auswirkungen auf das öffentliche L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e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ben. </w:t>
      </w:r>
    </w:p>
    <w:p w:rsidR="00D10D7E" w:rsidRPr="00D10D7E" w:rsidRDefault="00D10D7E" w:rsidP="00996367">
      <w:pPr>
        <w:pStyle w:val="CM13"/>
        <w:tabs>
          <w:tab w:val="left" w:pos="1134"/>
        </w:tabs>
        <w:spacing w:before="180" w:after="240"/>
        <w:ind w:left="1134" w:right="1412" w:hanging="1134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Hinweis: 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ab/>
        <w:t>Die Ziele zur Entwicklung der Siedlung sind im Baugesetz</w:t>
      </w:r>
      <w:r w:rsidRPr="00D10D7E">
        <w:rPr>
          <w:rFonts w:ascii="Arial" w:hAnsi="Arial" w:cs="Arial"/>
          <w:color w:val="444343"/>
          <w:sz w:val="22"/>
          <w:szCs w:val="22"/>
          <w:lang w:val="de-CH"/>
        </w:rPr>
        <w:t xml:space="preserve">, 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in den Richtplänen und im Leitbild enthalten</w:t>
      </w:r>
      <w:r w:rsidRPr="00D10D7E">
        <w:rPr>
          <w:rFonts w:ascii="Arial" w:hAnsi="Arial" w:cs="Arial"/>
          <w:color w:val="444343"/>
          <w:sz w:val="22"/>
          <w:szCs w:val="22"/>
          <w:lang w:val="de-CH"/>
        </w:rPr>
        <w:t xml:space="preserve">. 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Sie werden im Rahmen der Beratung über die ba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u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gesetzlichen Vorgaben vorg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e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stellt und erläutert. </w:t>
      </w:r>
    </w:p>
    <w:p w:rsidR="00D10D7E" w:rsidRPr="00743859" w:rsidRDefault="00D10D7E" w:rsidP="00743859">
      <w:pPr>
        <w:pStyle w:val="CM8"/>
        <w:ind w:right="1411"/>
        <w:rPr>
          <w:rFonts w:ascii="Arial" w:hAnsi="Arial" w:cs="Arial"/>
          <w:b/>
          <w:color w:val="222020"/>
          <w:sz w:val="22"/>
          <w:szCs w:val="22"/>
          <w:lang w:val="de-CH"/>
        </w:rPr>
      </w:pPr>
      <w:r w:rsidRPr="00743859">
        <w:rPr>
          <w:rFonts w:ascii="Arial" w:hAnsi="Arial" w:cs="Arial"/>
          <w:b/>
          <w:color w:val="222020"/>
          <w:sz w:val="22"/>
          <w:szCs w:val="22"/>
          <w:lang w:val="de-CH"/>
        </w:rPr>
        <w:t>Kriterien zur Situationsanalyse</w:t>
      </w:r>
      <w:r w:rsidR="00743859" w:rsidRPr="00743859">
        <w:rPr>
          <w:rFonts w:ascii="Arial" w:hAnsi="Arial" w:cs="Arial"/>
          <w:b/>
          <w:color w:val="222020"/>
          <w:sz w:val="22"/>
          <w:szCs w:val="22"/>
          <w:lang w:val="de-CH"/>
        </w:rPr>
        <w:t>:</w:t>
      </w:r>
      <w:r w:rsidRPr="00743859">
        <w:rPr>
          <w:rFonts w:ascii="Arial" w:hAnsi="Arial" w:cs="Arial"/>
          <w:b/>
          <w:color w:val="222020"/>
          <w:sz w:val="22"/>
          <w:szCs w:val="22"/>
          <w:lang w:val="de-CH"/>
        </w:rPr>
        <w:t xml:space="preserve"> </w:t>
      </w:r>
    </w:p>
    <w:p w:rsidR="00743859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Erkennen und Umsetzen der Charakteristik</w:t>
      </w:r>
      <w:r w:rsidRPr="00743859">
        <w:rPr>
          <w:rFonts w:ascii="Arial" w:hAnsi="Arial" w:cs="Arial"/>
          <w:color w:val="222020"/>
          <w:sz w:val="22"/>
          <w:szCs w:val="22"/>
          <w:lang w:val="de-CH"/>
        </w:rPr>
        <w:t xml:space="preserve">, 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Qualitäten und Beson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softHyphen/>
        <w:t xml:space="preserve">derheiten eines Standortes. </w:t>
      </w:r>
    </w:p>
    <w:p w:rsidR="00743859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Berücksichtigung der Umgebung und Landschaft. </w:t>
      </w:r>
    </w:p>
    <w:p w:rsidR="00743859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Aussagekraft eines Pro</w:t>
      </w:r>
      <w:r w:rsidR="00743859">
        <w:rPr>
          <w:rFonts w:ascii="Arial" w:hAnsi="Arial" w:cs="Arial"/>
          <w:color w:val="222020"/>
          <w:sz w:val="22"/>
          <w:szCs w:val="22"/>
          <w:lang w:val="de-CH"/>
        </w:rPr>
        <w:t>jektes /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 Quartierplans im Zusammenhang mit angrenzenden O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b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jekten</w:t>
      </w:r>
      <w:r w:rsidR="00743859">
        <w:rPr>
          <w:rFonts w:ascii="Arial" w:hAnsi="Arial" w:cs="Arial"/>
          <w:color w:val="222020"/>
          <w:sz w:val="22"/>
          <w:szCs w:val="22"/>
          <w:lang w:val="de-CH"/>
        </w:rPr>
        <w:t xml:space="preserve"> /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 Quartierplanungen </w:t>
      </w:r>
    </w:p>
    <w:p w:rsidR="00743859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Gute Einfügung der Verkehrsflächen (Strassen, Fahrwege, Fusswege, Parkplätze)</w:t>
      </w:r>
      <w:r w:rsidRPr="00743859">
        <w:rPr>
          <w:rFonts w:ascii="Arial" w:hAnsi="Arial" w:cs="Arial"/>
          <w:color w:val="222020"/>
          <w:sz w:val="22"/>
          <w:szCs w:val="22"/>
          <w:lang w:val="de-CH"/>
        </w:rPr>
        <w:t xml:space="preserve">. </w:t>
      </w:r>
    </w:p>
    <w:p w:rsidR="00D10D7E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Bei beso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n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deren Dimensionen der Gebäude und Änderungen der Massstäblichkeiten w</w:t>
      </w:r>
      <w:r w:rsidRPr="00743859">
        <w:rPr>
          <w:rFonts w:ascii="Arial" w:hAnsi="Arial" w:cs="Arial"/>
          <w:color w:val="222020"/>
          <w:sz w:val="22"/>
          <w:szCs w:val="22"/>
          <w:lang w:val="de-CH"/>
        </w:rPr>
        <w:t>i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rd die Auswirkung auf Sichtachsen, die Orts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softHyphen/>
        <w:t>und Landschaftssilhouelte geson</w:t>
      </w:r>
      <w:r w:rsidR="00743859">
        <w:rPr>
          <w:rFonts w:ascii="Arial" w:hAnsi="Arial" w:cs="Arial"/>
          <w:color w:val="222020"/>
          <w:sz w:val="22"/>
          <w:szCs w:val="22"/>
          <w:lang w:val="de-CH"/>
        </w:rPr>
        <w:t>dert geprüft (z.B. Hochhäuser).</w:t>
      </w:r>
    </w:p>
    <w:p w:rsidR="00D10D7E" w:rsidRPr="00743859" w:rsidRDefault="00D10D7E" w:rsidP="00996367">
      <w:pPr>
        <w:pStyle w:val="CM13"/>
        <w:tabs>
          <w:tab w:val="left" w:pos="1134"/>
        </w:tabs>
        <w:spacing w:before="180" w:after="240"/>
        <w:ind w:left="1134" w:right="1412" w:hanging="1134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Hinweis: 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ab/>
        <w:t>Es wird erwartet, dass ein Projekt professionell geplant wird und in der Sorgfalt</w:t>
      </w:r>
      <w:r w:rsidRPr="00743859">
        <w:rPr>
          <w:rFonts w:ascii="Arial" w:hAnsi="Arial" w:cs="Arial"/>
          <w:color w:val="222020"/>
          <w:sz w:val="22"/>
          <w:szCs w:val="22"/>
          <w:lang w:val="de-CH"/>
        </w:rPr>
        <w:t xml:space="preserve">, 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der Darstellung, dem Massstab und der Informationstiefe dem Vorhaben ad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ä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quat ist. Die allgemeinen baugesetzlichen Bestimmungen sind einzuhalten. Ungenügende Darstellungen und unreife Projekte werden zur Überarbeitung zurückgewiesen</w:t>
      </w:r>
      <w:r w:rsidRPr="00743859">
        <w:rPr>
          <w:rFonts w:ascii="Arial" w:hAnsi="Arial" w:cs="Arial"/>
          <w:color w:val="222020"/>
          <w:sz w:val="22"/>
          <w:szCs w:val="22"/>
          <w:lang w:val="de-CH"/>
        </w:rPr>
        <w:t xml:space="preserve">. 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Die Baukommission kann ergänzende Unterlagen, wie M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o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delle, Schnitte, Materialmuster etc</w:t>
      </w:r>
      <w:r w:rsidRPr="00743859">
        <w:rPr>
          <w:rFonts w:ascii="Arial" w:hAnsi="Arial" w:cs="Arial"/>
          <w:color w:val="222020"/>
          <w:sz w:val="22"/>
          <w:szCs w:val="22"/>
          <w:lang w:val="de-CH"/>
        </w:rPr>
        <w:t xml:space="preserve">. 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einfordern</w:t>
      </w:r>
      <w:r w:rsidRPr="00743859">
        <w:rPr>
          <w:rFonts w:ascii="Arial" w:hAnsi="Arial" w:cs="Arial"/>
          <w:color w:val="222020"/>
          <w:sz w:val="22"/>
          <w:szCs w:val="22"/>
          <w:lang w:val="de-CH"/>
        </w:rPr>
        <w:t xml:space="preserve">. </w:t>
      </w:r>
    </w:p>
    <w:p w:rsidR="00743859" w:rsidRPr="00743859" w:rsidRDefault="00D10D7E" w:rsidP="00743859">
      <w:pPr>
        <w:pStyle w:val="Default"/>
        <w:spacing w:line="288" w:lineRule="atLeast"/>
        <w:ind w:right="1411"/>
        <w:rPr>
          <w:rFonts w:ascii="Arial" w:hAnsi="Arial" w:cs="Arial"/>
          <w:b/>
          <w:color w:val="222020"/>
          <w:sz w:val="22"/>
          <w:szCs w:val="22"/>
          <w:lang w:val="de-CH"/>
        </w:rPr>
      </w:pPr>
      <w:r w:rsidRPr="00743859">
        <w:rPr>
          <w:rFonts w:ascii="Arial" w:hAnsi="Arial" w:cs="Arial"/>
          <w:b/>
          <w:color w:val="222020"/>
          <w:sz w:val="22"/>
          <w:szCs w:val="22"/>
          <w:lang w:val="de-CH"/>
        </w:rPr>
        <w:t>Kriterien zur Objektanalyse</w:t>
      </w:r>
      <w:r w:rsidR="00743859" w:rsidRPr="00743859">
        <w:rPr>
          <w:rFonts w:ascii="Arial" w:hAnsi="Arial" w:cs="Arial"/>
          <w:b/>
          <w:color w:val="222020"/>
          <w:sz w:val="22"/>
          <w:szCs w:val="22"/>
          <w:lang w:val="de-CH"/>
        </w:rPr>
        <w:t>:</w:t>
      </w:r>
    </w:p>
    <w:p w:rsidR="00D10D7E" w:rsidRPr="00743859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Ein Entwurf</w:t>
      </w:r>
      <w:r w:rsidR="00743859">
        <w:rPr>
          <w:rFonts w:ascii="Arial" w:hAnsi="Arial" w:cs="Arial"/>
          <w:color w:val="222020"/>
          <w:sz w:val="22"/>
          <w:szCs w:val="22"/>
          <w:lang w:val="de-CH"/>
        </w:rPr>
        <w:t xml:space="preserve"> /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 eine Überbauung hat zu funktionieren, wenn er</w:t>
      </w:r>
      <w:r w:rsidR="00743859">
        <w:rPr>
          <w:rFonts w:ascii="Arial" w:hAnsi="Arial" w:cs="Arial"/>
          <w:color w:val="222020"/>
          <w:sz w:val="22"/>
          <w:szCs w:val="22"/>
          <w:lang w:val="de-CH"/>
        </w:rPr>
        <w:t>/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sie nur teilweise oder in Etappen ausgeführt wird</w:t>
      </w:r>
      <w:r w:rsidRPr="00743859">
        <w:rPr>
          <w:rFonts w:ascii="Arial" w:hAnsi="Arial" w:cs="Arial"/>
          <w:color w:val="222020"/>
          <w:sz w:val="22"/>
          <w:szCs w:val="22"/>
          <w:lang w:val="de-CH"/>
        </w:rPr>
        <w:t xml:space="preserve">. </w:t>
      </w:r>
    </w:p>
    <w:p w:rsidR="00D10D7E" w:rsidRPr="00D10D7E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Gebäude sind nachhaltig zu gestalten und haben dem aktuellsten Stand der Entwic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k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lung zur jeweiligen Nutzung zu entsprechen (Grundrisse, Fassaden, Materialisierung, Far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b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gebung, Energie etc.). </w:t>
      </w:r>
    </w:p>
    <w:p w:rsidR="00D10D7E" w:rsidRPr="00D10D7E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Die Umgebungsgestaltung hat nach einem schlüssigen Konzept zu erfolgen. </w:t>
      </w:r>
    </w:p>
    <w:p w:rsidR="00D10D7E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Bei Beanspruchung von 'Bonus' gelten die Nutzungsanforderungen als zwingend. Weiter ist mit dem Projekt ein substanzieller Beitrag zum jeweiligen Thema zu leisten</w:t>
      </w:r>
      <w:r w:rsidRPr="00743859">
        <w:rPr>
          <w:rFonts w:ascii="Arial" w:hAnsi="Arial" w:cs="Arial"/>
          <w:color w:val="222020"/>
          <w:sz w:val="22"/>
          <w:szCs w:val="22"/>
          <w:lang w:val="de-CH"/>
        </w:rPr>
        <w:t xml:space="preserve">; 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eine Aufwertung der Situation wird verlangt. </w:t>
      </w:r>
    </w:p>
    <w:p w:rsidR="00D10D7E" w:rsidRPr="00D10D7E" w:rsidRDefault="00D10D7E" w:rsidP="00996367">
      <w:pPr>
        <w:pStyle w:val="CM13"/>
        <w:tabs>
          <w:tab w:val="left" w:pos="1134"/>
        </w:tabs>
        <w:spacing w:before="180" w:after="240"/>
        <w:ind w:left="1134" w:right="1412" w:hanging="1134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Hinweis; 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ab/>
        <w:t>Eine Überbauung / ein Gebäude ist so auszuführen, wie es zur Beurteilung vo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r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gelegt wurde. </w:t>
      </w:r>
    </w:p>
    <w:p w:rsidR="00743859" w:rsidRPr="00743859" w:rsidRDefault="00D10D7E" w:rsidP="00743859">
      <w:pPr>
        <w:pStyle w:val="CM8"/>
        <w:ind w:right="1411"/>
        <w:rPr>
          <w:rFonts w:ascii="Arial" w:hAnsi="Arial" w:cs="Arial"/>
          <w:b/>
          <w:color w:val="222020"/>
          <w:sz w:val="22"/>
          <w:szCs w:val="22"/>
          <w:lang w:val="de-CH"/>
        </w:rPr>
      </w:pPr>
      <w:r w:rsidRPr="00743859">
        <w:rPr>
          <w:rFonts w:ascii="Arial" w:hAnsi="Arial" w:cs="Arial"/>
          <w:b/>
          <w:color w:val="222020"/>
          <w:sz w:val="22"/>
          <w:szCs w:val="22"/>
          <w:lang w:val="de-CH"/>
        </w:rPr>
        <w:t>Stellungnahme des Bauberaters</w:t>
      </w:r>
      <w:r w:rsidR="00743859" w:rsidRPr="00743859">
        <w:rPr>
          <w:rFonts w:ascii="Arial" w:hAnsi="Arial" w:cs="Arial"/>
          <w:b/>
          <w:color w:val="222020"/>
          <w:sz w:val="22"/>
          <w:szCs w:val="22"/>
          <w:lang w:val="de-CH"/>
        </w:rPr>
        <w:t>:</w:t>
      </w:r>
      <w:r w:rsidRPr="00743859">
        <w:rPr>
          <w:rFonts w:ascii="Arial" w:hAnsi="Arial" w:cs="Arial"/>
          <w:b/>
          <w:color w:val="222020"/>
          <w:sz w:val="22"/>
          <w:szCs w:val="22"/>
          <w:lang w:val="de-CH"/>
        </w:rPr>
        <w:t xml:space="preserve"> </w:t>
      </w:r>
    </w:p>
    <w:p w:rsidR="00743859" w:rsidRDefault="00D10D7E" w:rsidP="00996367">
      <w:pPr>
        <w:pStyle w:val="CM13"/>
        <w:ind w:right="1412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Zusammenfassend nimmt der Berater in Bezug auf ein Vorhaben zu folgenden Fragen Ste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l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lung: </w:t>
      </w:r>
    </w:p>
    <w:p w:rsidR="00D10D7E" w:rsidRPr="00D10D7E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Wurden die vereinbarten Ziele erreicht? </w:t>
      </w:r>
    </w:p>
    <w:p w:rsidR="00996367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Hat der Entwurf eine entsprechende Qualität?</w:t>
      </w:r>
    </w:p>
    <w:p w:rsidR="00996367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Wurde die ortstypische Bauweise qual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i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tätsvoll interpretiert?</w:t>
      </w:r>
    </w:p>
    <w:p w:rsidR="00996367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Kann die Qualität am Ende umgesetzt werden?</w:t>
      </w:r>
    </w:p>
    <w:p w:rsidR="00D10D7E" w:rsidRDefault="00D10D7E" w:rsidP="00743859">
      <w:pPr>
        <w:pStyle w:val="CM13"/>
        <w:numPr>
          <w:ilvl w:val="0"/>
          <w:numId w:val="1"/>
        </w:numPr>
        <w:ind w:left="425" w:right="1412" w:hanging="425"/>
        <w:rPr>
          <w:rFonts w:ascii="Arial" w:hAnsi="Arial" w:cs="Arial"/>
          <w:color w:val="222020"/>
          <w:sz w:val="22"/>
          <w:szCs w:val="22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Kann der Gemeinde zur B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e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 xml:space="preserve">willigung geraten werden? </w:t>
      </w:r>
    </w:p>
    <w:p w:rsidR="00996367" w:rsidRDefault="00996367">
      <w:pPr>
        <w:rPr>
          <w:rFonts w:ascii="Arial" w:hAnsi="Arial" w:cs="Arial"/>
          <w:b/>
          <w:color w:val="201E20"/>
          <w:sz w:val="21"/>
          <w:szCs w:val="21"/>
          <w:lang w:val="de-CH"/>
        </w:rPr>
      </w:pPr>
      <w:r>
        <w:rPr>
          <w:rFonts w:ascii="Arial" w:hAnsi="Arial" w:cs="Arial"/>
          <w:b/>
          <w:color w:val="201E20"/>
          <w:sz w:val="21"/>
          <w:szCs w:val="21"/>
          <w:lang w:val="de-CH"/>
        </w:rPr>
        <w:br w:type="page"/>
      </w:r>
    </w:p>
    <w:p w:rsidR="00996367" w:rsidRPr="00996367" w:rsidRDefault="00D10D7E" w:rsidP="00D10D7E">
      <w:pPr>
        <w:pStyle w:val="CM13"/>
        <w:spacing w:after="257" w:line="268" w:lineRule="atLeast"/>
        <w:ind w:right="1411"/>
        <w:rPr>
          <w:rFonts w:ascii="Arial" w:hAnsi="Arial" w:cs="Arial"/>
          <w:b/>
          <w:color w:val="201E20"/>
          <w:sz w:val="21"/>
          <w:szCs w:val="21"/>
          <w:lang w:val="de-CH"/>
        </w:rPr>
      </w:pPr>
      <w:r w:rsidRPr="00996367">
        <w:rPr>
          <w:rFonts w:ascii="Arial" w:hAnsi="Arial" w:cs="Arial"/>
          <w:b/>
          <w:color w:val="201E20"/>
          <w:sz w:val="21"/>
          <w:szCs w:val="21"/>
          <w:lang w:val="de-CH"/>
        </w:rPr>
        <w:t xml:space="preserve">Anhang 2 </w:t>
      </w:r>
    </w:p>
    <w:p w:rsidR="00996367" w:rsidRPr="00996367" w:rsidRDefault="00996367" w:rsidP="00996367">
      <w:pPr>
        <w:pStyle w:val="Default"/>
        <w:ind w:left="-284"/>
        <w:rPr>
          <w:lang w:val="de-CH"/>
        </w:rPr>
      </w:pPr>
      <w:r>
        <w:rPr>
          <w:rFonts w:ascii="Arial" w:hAnsi="Arial" w:cs="Arial"/>
          <w:noProof/>
          <w:color w:val="201E20"/>
          <w:sz w:val="21"/>
          <w:szCs w:val="21"/>
        </w:rPr>
        <w:drawing>
          <wp:inline distT="0" distB="0" distL="0" distR="0">
            <wp:extent cx="4528217" cy="6524625"/>
            <wp:effectExtent l="19050" t="0" r="5683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217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6367">
        <w:rPr>
          <w:lang w:val="de-CH"/>
        </w:rPr>
        <w:t xml:space="preserve"> </w:t>
      </w:r>
    </w:p>
    <w:p w:rsidR="00996367" w:rsidRDefault="00996367" w:rsidP="00996367">
      <w:pPr>
        <w:pStyle w:val="Default"/>
        <w:spacing w:line="288" w:lineRule="atLeast"/>
        <w:ind w:right="1411"/>
        <w:rPr>
          <w:rFonts w:ascii="Arial" w:hAnsi="Arial" w:cs="Arial"/>
          <w:color w:val="222020"/>
          <w:sz w:val="22"/>
          <w:szCs w:val="22"/>
          <w:lang w:val="de-CH"/>
        </w:rPr>
      </w:pPr>
    </w:p>
    <w:p w:rsidR="00D10D7E" w:rsidRPr="00D10D7E" w:rsidRDefault="00996367" w:rsidP="00996367">
      <w:pPr>
        <w:pStyle w:val="Default"/>
        <w:spacing w:line="288" w:lineRule="atLeast"/>
        <w:ind w:right="1411"/>
        <w:rPr>
          <w:rFonts w:ascii="Arial" w:hAnsi="Arial" w:cs="Arial"/>
          <w:color w:val="201E20"/>
          <w:sz w:val="21"/>
          <w:szCs w:val="21"/>
          <w:lang w:val="de-CH"/>
        </w:rPr>
      </w:pPr>
      <w:r w:rsidRPr="00D10D7E">
        <w:rPr>
          <w:rFonts w:ascii="Arial" w:hAnsi="Arial" w:cs="Arial"/>
          <w:color w:val="222020"/>
          <w:sz w:val="22"/>
          <w:szCs w:val="22"/>
          <w:lang w:val="de-CH"/>
        </w:rPr>
        <w:t>Igis, 13</w:t>
      </w:r>
      <w:r w:rsidRPr="00D10D7E">
        <w:rPr>
          <w:rFonts w:ascii="Arial" w:hAnsi="Arial" w:cs="Arial"/>
          <w:color w:val="413E3E"/>
          <w:sz w:val="22"/>
          <w:szCs w:val="22"/>
          <w:lang w:val="de-CH"/>
        </w:rPr>
        <w:t>.</w:t>
      </w:r>
      <w:r w:rsidRPr="00D10D7E">
        <w:rPr>
          <w:rFonts w:ascii="Arial" w:hAnsi="Arial" w:cs="Arial"/>
          <w:color w:val="222020"/>
          <w:sz w:val="22"/>
          <w:szCs w:val="22"/>
          <w:lang w:val="de-CH"/>
        </w:rPr>
        <w:t>12.2012</w:t>
      </w:r>
      <w:r>
        <w:rPr>
          <w:rFonts w:ascii="Arial" w:hAnsi="Arial" w:cs="Arial"/>
          <w:color w:val="222020"/>
          <w:sz w:val="22"/>
          <w:szCs w:val="22"/>
          <w:lang w:val="de-CH"/>
        </w:rPr>
        <w:t xml:space="preserve"> / NI</w:t>
      </w:r>
    </w:p>
    <w:sectPr w:rsidR="00D10D7E" w:rsidRPr="00D10D7E" w:rsidSect="00996367">
      <w:pgSz w:w="11937" w:h="16869"/>
      <w:pgMar w:top="567" w:right="284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859" w:rsidRDefault="00743859" w:rsidP="00743859">
      <w:pPr>
        <w:spacing w:after="0" w:line="240" w:lineRule="auto"/>
      </w:pPr>
      <w:r>
        <w:separator/>
      </w:r>
    </w:p>
  </w:endnote>
  <w:endnote w:type="continuationSeparator" w:id="0">
    <w:p w:rsidR="00743859" w:rsidRDefault="00743859" w:rsidP="0074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859" w:rsidRDefault="00743859" w:rsidP="00743859">
      <w:pPr>
        <w:spacing w:after="0" w:line="240" w:lineRule="auto"/>
      </w:pPr>
      <w:r>
        <w:separator/>
      </w:r>
    </w:p>
  </w:footnote>
  <w:footnote w:type="continuationSeparator" w:id="0">
    <w:p w:rsidR="00743859" w:rsidRDefault="00743859" w:rsidP="0074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859" w:rsidRPr="00996367" w:rsidRDefault="00743859" w:rsidP="00743859">
    <w:pPr>
      <w:pStyle w:val="Kopfzeile"/>
      <w:tabs>
        <w:tab w:val="clear" w:pos="4703"/>
        <w:tab w:val="clear" w:pos="9406"/>
        <w:tab w:val="right" w:pos="8931"/>
      </w:tabs>
      <w:rPr>
        <w:rFonts w:ascii="Arial" w:hAnsi="Arial" w:cs="Arial"/>
        <w:sz w:val="20"/>
        <w:szCs w:val="20"/>
        <w:lang w:val="de-CH"/>
      </w:rPr>
    </w:pPr>
    <w:r w:rsidRPr="00996367">
      <w:rPr>
        <w:rFonts w:ascii="Arial" w:hAnsi="Arial" w:cs="Arial"/>
        <w:sz w:val="20"/>
        <w:szCs w:val="20"/>
        <w:lang w:val="de-CH"/>
      </w:rPr>
      <w:t xml:space="preserve">Reglement über die Bauberatung </w:t>
    </w:r>
    <w:r w:rsidR="00996367" w:rsidRPr="00996367">
      <w:rPr>
        <w:rFonts w:ascii="Arial" w:hAnsi="Arial" w:cs="Arial"/>
        <w:sz w:val="20"/>
        <w:szCs w:val="20"/>
        <w:lang w:val="de-CH"/>
      </w:rPr>
      <w:t>Landquart</w:t>
    </w:r>
    <w:r w:rsidRPr="00996367">
      <w:rPr>
        <w:rFonts w:ascii="Arial" w:hAnsi="Arial" w:cs="Arial"/>
        <w:sz w:val="20"/>
        <w:szCs w:val="20"/>
        <w:lang w:val="de-CH"/>
      </w:rPr>
      <w:tab/>
      <w:t>000.320</w:t>
    </w:r>
  </w:p>
  <w:p w:rsidR="00743859" w:rsidRPr="00996367" w:rsidRDefault="00743859">
    <w:pPr>
      <w:pStyle w:val="Kopfzeile"/>
      <w:rPr>
        <w:lang w:val="de-C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1727"/>
    <w:multiLevelType w:val="hybridMultilevel"/>
    <w:tmpl w:val="E0E2DF5C"/>
    <w:lvl w:ilvl="0" w:tplc="006A3D3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D7E"/>
    <w:rsid w:val="001C6D63"/>
    <w:rsid w:val="005126E0"/>
    <w:rsid w:val="006536CE"/>
    <w:rsid w:val="0066433D"/>
    <w:rsid w:val="00743859"/>
    <w:rsid w:val="00996367"/>
    <w:rsid w:val="009C1755"/>
    <w:rsid w:val="00A601D0"/>
    <w:rsid w:val="00D10D7E"/>
    <w:rsid w:val="00DF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14">
    <w:name w:val="CM14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7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Pr>
      <w:color w:val="auto"/>
    </w:rPr>
  </w:style>
  <w:style w:type="paragraph" w:customStyle="1" w:styleId="CM16">
    <w:name w:val="CM16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4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4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17">
    <w:name w:val="CM17"/>
    <w:basedOn w:val="Default"/>
    <w:next w:val="Default"/>
    <w:uiPriority w:val="99"/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346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Pr>
      <w:color w:val="auto"/>
    </w:rPr>
  </w:style>
  <w:style w:type="paragraph" w:customStyle="1" w:styleId="CM19">
    <w:name w:val="CM19"/>
    <w:basedOn w:val="Default"/>
    <w:next w:val="Default"/>
    <w:uiPriority w:val="99"/>
    <w:rPr>
      <w:color w:val="auto"/>
    </w:rPr>
  </w:style>
  <w:style w:type="paragraph" w:customStyle="1" w:styleId="CM20">
    <w:name w:val="CM20"/>
    <w:basedOn w:val="Default"/>
    <w:next w:val="Default"/>
    <w:uiPriority w:val="99"/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9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4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Pr>
      <w:color w:val="auto"/>
    </w:rPr>
  </w:style>
  <w:style w:type="table" w:styleId="Tabellengitternetz">
    <w:name w:val="Table Grid"/>
    <w:basedOn w:val="NormaleTabelle"/>
    <w:uiPriority w:val="59"/>
    <w:rsid w:val="00D10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nhideWhenUsed/>
    <w:rsid w:val="007438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43859"/>
  </w:style>
  <w:style w:type="paragraph" w:styleId="Fuzeile">
    <w:name w:val="footer"/>
    <w:basedOn w:val="Standard"/>
    <w:link w:val="FuzeileZchn"/>
    <w:uiPriority w:val="99"/>
    <w:semiHidden/>
    <w:unhideWhenUsed/>
    <w:rsid w:val="007438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438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  <ARENavigation xmlns="2d999939-2a46-46d1-8935-28b39244f330">Siedlungsgestaltung</ARENavig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4FE6A61266A747B644FF74DFC629AC" ma:contentTypeVersion="9" ma:contentTypeDescription="Ein neues Dokument erstellen." ma:contentTypeScope="" ma:versionID="7919430c1ba046b75ffc508234091057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a1693c61eb8429d8b6b45577a8c8ccd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52754-F273-424D-8131-1F2447A66294}"/>
</file>

<file path=customXml/itemProps2.xml><?xml version="1.0" encoding="utf-8"?>
<ds:datastoreItem xmlns:ds="http://schemas.openxmlformats.org/officeDocument/2006/customXml" ds:itemID="{FE2C03D1-C37B-4AE6-A8A3-7D6E34A311EE}"/>
</file>

<file path=customXml/itemProps3.xml><?xml version="1.0" encoding="utf-8"?>
<ds:datastoreItem xmlns:ds="http://schemas.openxmlformats.org/officeDocument/2006/customXml" ds:itemID="{5A62586E-7A3A-436E-8C4C-CC57D106D5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Bauberatung, Modell Landquart</dc:title>
  <dc:subject/>
  <dc:creator>rugalb</dc:creator>
  <cp:keywords/>
  <dc:description/>
  <cp:lastModifiedBy>rugalb</cp:lastModifiedBy>
  <cp:revision>5</cp:revision>
  <dcterms:created xsi:type="dcterms:W3CDTF">2013-02-11T11:09:00Z</dcterms:created>
  <dcterms:modified xsi:type="dcterms:W3CDTF">2013-02-11T13:16:00Z</dcterms:modified>
  <cp:category>Themen und Projekte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0x010100CC4FE6A61266A747B644FF74DFC629AC</vt:lpwstr>
  </property>
  <property fmtid="{D5CDD505-2E9C-101B-9397-08002B2CF9AE}" pid="3" name="Order">
    <vt:r8>3300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dokument">
    <vt:lpwstr>Siedlungsgestaltung</vt:lpwstr>
  </property>
  <property fmtid="{D5CDD505-2E9C-101B-9397-08002B2CF9AE}" pid="10" name="Language">
    <vt:lpwstr>DE</vt:lpwstr>
  </property>
  <property fmtid="{D5CDD505-2E9C-101B-9397-08002B2CF9AE}" pid="12" name="Kategorien">
    <vt:lpwstr>Gestaltungsberatung</vt:lpwstr>
  </property>
  <property fmtid="{D5CDD505-2E9C-101B-9397-08002B2CF9AE}" pid="13" name="ARENavigation">
    <vt:lpwstr>Siedlungsgestaltung</vt:lpwstr>
  </property>
</Properties>
</file>