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F9E8" w14:textId="77777777" w:rsidR="00FF3A57" w:rsidRDefault="00FA2EA5" w:rsidP="00BA07EF">
      <w:pPr>
        <w:pStyle w:val="Kopfzeile"/>
        <w:pBdr>
          <w:top w:val="single" w:sz="4" w:space="1" w:color="auto"/>
          <w:left w:val="single" w:sz="4" w:space="4" w:color="auto"/>
          <w:bottom w:val="single" w:sz="4" w:space="1" w:color="auto"/>
          <w:right w:val="single" w:sz="4" w:space="4" w:color="auto"/>
        </w:pBdr>
        <w:shd w:val="clear" w:color="auto" w:fill="FDE9D9" w:themeFill="accent6" w:themeFillTint="33"/>
        <w:tabs>
          <w:tab w:val="clear" w:pos="4536"/>
        </w:tabs>
        <w:spacing w:after="240"/>
        <w:rPr>
          <w:b/>
          <w:sz w:val="28"/>
        </w:rPr>
      </w:pPr>
      <w:bookmarkStart w:id="0" w:name="OLE_LINK2"/>
      <w:r>
        <w:rPr>
          <w:b/>
          <w:sz w:val="28"/>
        </w:rPr>
        <w:t>Regolamento modello delle zone di protezione delle acque sotterranee</w:t>
      </w:r>
    </w:p>
    <w:p w14:paraId="77246A0A" w14:textId="7E5E7AE5" w:rsidR="007E7C77" w:rsidRPr="0042178E" w:rsidRDefault="00FA2EA5" w:rsidP="00BA07EF">
      <w:pPr>
        <w:pStyle w:val="Kopfzeile"/>
        <w:pBdr>
          <w:top w:val="single" w:sz="4" w:space="1" w:color="auto"/>
          <w:left w:val="single" w:sz="4" w:space="4" w:color="auto"/>
          <w:bottom w:val="single" w:sz="4" w:space="1" w:color="auto"/>
          <w:right w:val="single" w:sz="4" w:space="4" w:color="auto"/>
        </w:pBdr>
        <w:shd w:val="clear" w:color="auto" w:fill="FDE9D9" w:themeFill="accent6" w:themeFillTint="33"/>
        <w:tabs>
          <w:tab w:val="clear" w:pos="4536"/>
        </w:tabs>
        <w:spacing w:after="240"/>
        <w:rPr>
          <w:b/>
          <w:sz w:val="28"/>
          <w:szCs w:val="28"/>
        </w:rPr>
      </w:pPr>
      <w:r>
        <w:t>ANU-406-12i / versione del 19.11.</w:t>
      </w:r>
      <w:r w:rsidR="00831C23">
        <w:t>20</w:t>
      </w:r>
      <w:r>
        <w:t>25</w:t>
      </w:r>
    </w:p>
    <w:p w14:paraId="26F2A12D" w14:textId="471A59E9" w:rsidR="00941646" w:rsidRPr="0042178E" w:rsidRDefault="00941646" w:rsidP="000F38BD">
      <w:pPr>
        <w:pStyle w:val="Kopfzeile"/>
        <w:pBdr>
          <w:top w:val="single" w:sz="4" w:space="2" w:color="auto"/>
          <w:left w:val="single" w:sz="4" w:space="3" w:color="auto"/>
          <w:bottom w:val="single" w:sz="4" w:space="2" w:color="auto"/>
          <w:right w:val="single" w:sz="4" w:space="3" w:color="auto"/>
        </w:pBdr>
        <w:shd w:val="clear" w:color="auto" w:fill="FDE9D9" w:themeFill="accent6" w:themeFillTint="33"/>
        <w:tabs>
          <w:tab w:val="clear" w:pos="4536"/>
        </w:tabs>
        <w:jc w:val="both"/>
        <w:rPr>
          <w:sz w:val="20"/>
          <w:szCs w:val="20"/>
        </w:rPr>
      </w:pPr>
      <w:r>
        <w:rPr>
          <w:sz w:val="20"/>
        </w:rPr>
        <w:t xml:space="preserve">Le parti evidenziate in </w:t>
      </w:r>
      <w:r>
        <w:rPr>
          <w:sz w:val="20"/>
          <w:highlight w:val="yellow"/>
        </w:rPr>
        <w:t>giallo</w:t>
      </w:r>
      <w:r>
        <w:rPr>
          <w:sz w:val="20"/>
        </w:rPr>
        <w:t xml:space="preserve"> devono essere controllate e modificate. Se termini sono inseriti in aggiunta tra </w:t>
      </w:r>
      <w:r>
        <w:rPr>
          <w:sz w:val="20"/>
          <w:highlight w:val="yellow"/>
        </w:rPr>
        <w:t>[parentesi quadre]</w:t>
      </w:r>
      <w:r>
        <w:rPr>
          <w:sz w:val="20"/>
        </w:rPr>
        <w:t>, sono necessarie indicazioni specifiche.</w:t>
      </w:r>
    </w:p>
    <w:p w14:paraId="049E7259" w14:textId="77777777" w:rsidR="00260011" w:rsidRPr="0042178E" w:rsidRDefault="00260011" w:rsidP="000F38BD">
      <w:pPr>
        <w:pStyle w:val="Kopfzeile"/>
        <w:pBdr>
          <w:top w:val="single" w:sz="4" w:space="2" w:color="auto"/>
          <w:left w:val="single" w:sz="4" w:space="3" w:color="auto"/>
          <w:bottom w:val="single" w:sz="4" w:space="2" w:color="auto"/>
          <w:right w:val="single" w:sz="4" w:space="3" w:color="auto"/>
        </w:pBdr>
        <w:shd w:val="clear" w:color="auto" w:fill="FDE9D9" w:themeFill="accent6" w:themeFillTint="33"/>
        <w:tabs>
          <w:tab w:val="clear" w:pos="4536"/>
        </w:tabs>
        <w:jc w:val="both"/>
        <w:rPr>
          <w:sz w:val="20"/>
          <w:szCs w:val="20"/>
        </w:rPr>
      </w:pPr>
    </w:p>
    <w:p w14:paraId="78AE27B2" w14:textId="5432738D" w:rsidR="00260011" w:rsidRPr="0042178E" w:rsidRDefault="00260011" w:rsidP="000F38BD">
      <w:pPr>
        <w:pStyle w:val="Kopfzeile"/>
        <w:pBdr>
          <w:top w:val="single" w:sz="4" w:space="2" w:color="auto"/>
          <w:left w:val="single" w:sz="4" w:space="3" w:color="auto"/>
          <w:bottom w:val="single" w:sz="4" w:space="2" w:color="auto"/>
          <w:right w:val="single" w:sz="4" w:space="3" w:color="auto"/>
        </w:pBdr>
        <w:shd w:val="clear" w:color="auto" w:fill="FDE9D9" w:themeFill="accent6" w:themeFillTint="33"/>
        <w:tabs>
          <w:tab w:val="clear" w:pos="4536"/>
        </w:tabs>
        <w:jc w:val="both"/>
        <w:rPr>
          <w:sz w:val="20"/>
          <w:szCs w:val="20"/>
        </w:rPr>
      </w:pPr>
      <w:r>
        <w:rPr>
          <w:sz w:val="20"/>
        </w:rPr>
        <w:t>Le parti di testo all'interno di un riquadro con sfondo color salmone (come qui) sono spiegazioni da tenere in considerazione durante l'elaborazione del regolamento delle zone di protezione. Esse devono tuttavia essere eliminate al più tardi nella versione definitiva del documento.</w:t>
      </w:r>
    </w:p>
    <w:bookmarkEnd w:id="0"/>
    <w:p w14:paraId="35C6F1E3" w14:textId="2C270615" w:rsidR="001874B9" w:rsidRPr="00782E7A" w:rsidRDefault="00986AD9" w:rsidP="00260011">
      <w:pPr>
        <w:pStyle w:val="Titel"/>
        <w:spacing w:before="480"/>
      </w:pPr>
      <w:r>
        <w:t>REGOLAMENTO DELLE ZONE DI PROTEZIONE</w:t>
      </w:r>
    </w:p>
    <w:p w14:paraId="55845FEA" w14:textId="0DA09885" w:rsidR="00202D5E" w:rsidRPr="00782E7A" w:rsidRDefault="00986AD9" w:rsidP="00986AD9">
      <w:pPr>
        <w:pStyle w:val="Untertitel"/>
        <w:rPr>
          <w:i w:val="0"/>
        </w:rPr>
      </w:pPr>
      <w:r>
        <w:rPr>
          <w:i w:val="0"/>
        </w:rPr>
        <w:t xml:space="preserve">per </w:t>
      </w:r>
      <w:r>
        <w:rPr>
          <w:i w:val="0"/>
          <w:highlight w:val="yellow"/>
        </w:rPr>
        <w:t>la/e captazione/i di sorgente / acque sotterranee</w:t>
      </w:r>
      <w:r>
        <w:rPr>
          <w:i w:val="0"/>
        </w:rPr>
        <w:t xml:space="preserve"> </w:t>
      </w:r>
      <w:r>
        <w:rPr>
          <w:i w:val="0"/>
          <w:highlight w:val="yellow"/>
        </w:rPr>
        <w:t>[nome della/e</w:t>
      </w:r>
      <w:r w:rsidR="00FF3A57">
        <w:rPr>
          <w:i w:val="0"/>
          <w:highlight w:val="yellow"/>
        </w:rPr>
        <w:t xml:space="preserve"> </w:t>
      </w:r>
      <w:r>
        <w:rPr>
          <w:i w:val="0"/>
          <w:highlight w:val="yellow"/>
        </w:rPr>
        <w:t>captazione/i]</w:t>
      </w:r>
      <w:r>
        <w:rPr>
          <w:i w:val="0"/>
        </w:rPr>
        <w:t xml:space="preserve"> </w:t>
      </w:r>
      <w:r>
        <w:rPr>
          <w:i w:val="0"/>
          <w:highlight w:val="yellow"/>
        </w:rPr>
        <w:t>nel Comune / nei Comuni di</w:t>
      </w:r>
      <w:r>
        <w:rPr>
          <w:i w:val="0"/>
        </w:rPr>
        <w:t xml:space="preserve"> </w:t>
      </w:r>
      <w:r>
        <w:rPr>
          <w:i w:val="0"/>
          <w:highlight w:val="yellow"/>
        </w:rPr>
        <w:t>[nome]</w:t>
      </w:r>
    </w:p>
    <w:p w14:paraId="5260873F" w14:textId="3DD28A07" w:rsidR="002B2957" w:rsidRPr="00782E7A" w:rsidRDefault="00986AD9" w:rsidP="00CC48BD">
      <w:pPr>
        <w:jc w:val="both"/>
      </w:pPr>
      <w:r>
        <w:t xml:space="preserve">In virtù dell'art. 20 cpv. 1 della legge federale sulla protezione delle acque (legge sulla protezione delle acque, LPAc; RS 814.20), nonché dell'art. 24 della legge d'introduzione della legge federale sulla protezione delle acque (legge cantonale sulla protezione delle acque, LCPAc; CSC 815.100), </w:t>
      </w:r>
      <w:r>
        <w:rPr>
          <w:highlight w:val="yellow"/>
        </w:rPr>
        <w:t>il municipio del Comune di [nome del Comune] emana/i municipi dei Comuni di [nomi dei Comuni] emanano</w:t>
      </w:r>
      <w:r>
        <w:t xml:space="preserve"> il seguente regolamento delle zone di protezione:</w:t>
      </w:r>
    </w:p>
    <w:p w14:paraId="52E32FFC" w14:textId="70B4C464" w:rsidR="00242ECD" w:rsidRPr="00782E7A" w:rsidRDefault="00F85CB2" w:rsidP="000F38BD">
      <w:pPr>
        <w:pBdr>
          <w:top w:val="single" w:sz="4" w:space="2" w:color="auto"/>
          <w:left w:val="single" w:sz="4" w:space="2" w:color="auto"/>
          <w:bottom w:val="single" w:sz="4" w:space="2" w:color="auto"/>
          <w:right w:val="single" w:sz="4" w:space="2" w:color="auto"/>
        </w:pBdr>
        <w:shd w:val="clear" w:color="auto" w:fill="FDE9D9" w:themeFill="accent6" w:themeFillTint="33"/>
        <w:jc w:val="both"/>
        <w:rPr>
          <w:sz w:val="20"/>
          <w:szCs w:val="20"/>
        </w:rPr>
      </w:pPr>
      <w:r>
        <w:rPr>
          <w:sz w:val="20"/>
        </w:rPr>
        <w:t>Nell'ingresso vengono menzionate solo le disposizioni dalle quali risultano la competenza e l'obbligo del Comune rispettivamente del municipio. Le direttive contenutistiche sono indicate all'art. 3.</w:t>
      </w:r>
    </w:p>
    <w:p w14:paraId="5C3163A9" w14:textId="77777777" w:rsidR="002B2957" w:rsidRPr="00782E7A" w:rsidRDefault="00986AD9" w:rsidP="003770BC">
      <w:pPr>
        <w:pStyle w:val="berschrift1"/>
        <w:ind w:left="426" w:hanging="426"/>
      </w:pPr>
      <w:r>
        <w:t>Disposizioni generali</w:t>
      </w:r>
    </w:p>
    <w:p w14:paraId="6DC93A2F" w14:textId="02F384BE" w:rsidR="002B2957" w:rsidRPr="00782E7A" w:rsidRDefault="00986AD9" w:rsidP="0044481E">
      <w:pPr>
        <w:pStyle w:val="Artikel"/>
      </w:pPr>
      <w:r>
        <w:t xml:space="preserve">Art. </w:t>
      </w:r>
      <w:r w:rsidR="002B2957">
        <w:fldChar w:fldCharType="begin"/>
      </w:r>
      <w:r w:rsidR="002B2957">
        <w:instrText xml:space="preserve"> AUTONUMLGL  \e </w:instrText>
      </w:r>
      <w:r w:rsidR="002B2957">
        <w:fldChar w:fldCharType="separate"/>
      </w:r>
      <w:r w:rsidR="002B2957">
        <w:fldChar w:fldCharType="end"/>
      </w:r>
      <w:r>
        <w:tab/>
        <w:t>Campo d'applicazione</w:t>
      </w:r>
    </w:p>
    <w:p w14:paraId="635C48E6" w14:textId="50C37AF2" w:rsidR="003770BC" w:rsidRPr="00782E7A" w:rsidRDefault="001D5532" w:rsidP="00083440">
      <w:pPr>
        <w:jc w:val="both"/>
        <w:rPr>
          <w:kern w:val="22"/>
        </w:rPr>
      </w:pPr>
      <w:r>
        <w:rPr>
          <w:rStyle w:val="Hochgestellt"/>
        </w:rPr>
        <w:t>1</w:t>
      </w:r>
      <w:r>
        <w:t xml:space="preserve"> Il presente regolamento vale per le aree definite </w:t>
      </w:r>
      <w:r>
        <w:rPr>
          <w:highlight w:val="yellow"/>
        </w:rPr>
        <w:t>nel piano/nei piani delle zone di protezione [nome della/e captazione/i]</w:t>
      </w:r>
      <w:r>
        <w:t xml:space="preserve"> del </w:t>
      </w:r>
      <w:r>
        <w:rPr>
          <w:highlight w:val="yellow"/>
        </w:rPr>
        <w:t>[data]</w:t>
      </w:r>
      <w:r>
        <w:t>, scala 1:</w:t>
      </w:r>
      <w:r>
        <w:rPr>
          <w:highlight w:val="yellow"/>
        </w:rPr>
        <w:t>[scala]</w:t>
      </w:r>
      <w:r>
        <w:t>.</w:t>
      </w:r>
      <w:r w:rsidR="003770BC" w:rsidRPr="00782E7A">
        <w:rPr>
          <w:rStyle w:val="Funotenzeichen"/>
          <w:kern w:val="22"/>
        </w:rPr>
        <w:footnoteReference w:id="1"/>
      </w:r>
    </w:p>
    <w:p w14:paraId="73DD7E05" w14:textId="750D69ED" w:rsidR="001D5532" w:rsidRPr="00782E7A" w:rsidRDefault="001D5532" w:rsidP="003F3F55">
      <w:pPr>
        <w:jc w:val="both"/>
        <w:rPr>
          <w:kern w:val="22"/>
        </w:rPr>
      </w:pPr>
      <w:r>
        <w:rPr>
          <w:rStyle w:val="Hochgestellt"/>
        </w:rPr>
        <w:t>2</w:t>
      </w:r>
      <w:r>
        <w:t xml:space="preserve"> La base per le zone di protezione per </w:t>
      </w:r>
      <w:r>
        <w:rPr>
          <w:highlight w:val="yellow"/>
        </w:rPr>
        <w:t>la/e captazione/i di sorgente / acque sotterranee [nome della/e captazione/i]</w:t>
      </w:r>
      <w:r>
        <w:t xml:space="preserve"> è costituita dal </w:t>
      </w:r>
      <w:r>
        <w:rPr>
          <w:shd w:val="clear" w:color="auto" w:fill="FFFFFF" w:themeFill="background1"/>
        </w:rPr>
        <w:t>rapporto idrogeologico</w:t>
      </w:r>
      <w:r>
        <w:t xml:space="preserve"> di </w:t>
      </w:r>
      <w:r>
        <w:rPr>
          <w:highlight w:val="yellow"/>
        </w:rPr>
        <w:t>[nome del redattore/dei redattori del rapporto o della ditta]</w:t>
      </w:r>
      <w:r>
        <w:t xml:space="preserve"> del </w:t>
      </w:r>
      <w:r>
        <w:rPr>
          <w:highlight w:val="yellow"/>
        </w:rPr>
        <w:t>[data]</w:t>
      </w:r>
      <w:r>
        <w:t>.</w:t>
      </w:r>
      <w:r w:rsidR="00BA07EF" w:rsidRPr="00782E7A">
        <w:rPr>
          <w:rStyle w:val="Funotenzeichen"/>
          <w:kern w:val="22"/>
        </w:rPr>
        <w:footnoteReference w:id="2"/>
      </w:r>
    </w:p>
    <w:p w14:paraId="28E8BF6A" w14:textId="6FD94858" w:rsidR="003F3F55" w:rsidRPr="00782E7A" w:rsidRDefault="008772A4" w:rsidP="000F38BD">
      <w:pPr>
        <w:pBdr>
          <w:top w:val="single" w:sz="4" w:space="2" w:color="auto"/>
          <w:left w:val="single" w:sz="4" w:space="2" w:color="auto"/>
          <w:bottom w:val="single" w:sz="4" w:space="2" w:color="auto"/>
          <w:right w:val="single" w:sz="4" w:space="2" w:color="auto"/>
        </w:pBdr>
        <w:shd w:val="clear" w:color="auto" w:fill="FDE9D9" w:themeFill="accent6" w:themeFillTint="33"/>
        <w:spacing w:after="120"/>
        <w:jc w:val="both"/>
        <w:rPr>
          <w:sz w:val="20"/>
          <w:szCs w:val="20"/>
        </w:rPr>
      </w:pPr>
      <w:r>
        <w:rPr>
          <w:sz w:val="20"/>
        </w:rPr>
        <w:t>Gli allegati ad atti normativi costituiscono sempre parte integrante del presente atto normativo e sono quindi ugualmente vincolanti. Questo vale anche per il regolamento delle zone di protezione e per i relativi allegati.</w:t>
      </w:r>
    </w:p>
    <w:p w14:paraId="13387C0E" w14:textId="4B5B7F83" w:rsidR="001D1901" w:rsidRPr="00782E7A" w:rsidRDefault="001D1901" w:rsidP="0044481E">
      <w:pPr>
        <w:pStyle w:val="Artikel"/>
      </w:pPr>
      <w:r>
        <w:lastRenderedPageBreak/>
        <w:t xml:space="preserve">Art. </w:t>
      </w:r>
      <w:r>
        <w:fldChar w:fldCharType="begin"/>
      </w:r>
      <w:r>
        <w:instrText xml:space="preserve"> AUTONUMLGL  \e </w:instrText>
      </w:r>
      <w:r>
        <w:fldChar w:fldCharType="separate"/>
      </w:r>
      <w:r>
        <w:fldChar w:fldCharType="end"/>
      </w:r>
      <w:r>
        <w:tab/>
        <w:t xml:space="preserve">Obiettivo e scopo </w:t>
      </w:r>
    </w:p>
    <w:p w14:paraId="78FBF0D6" w14:textId="483BFAE0" w:rsidR="00986AD9" w:rsidRPr="00782E7A" w:rsidRDefault="001D1901" w:rsidP="00083440">
      <w:pPr>
        <w:jc w:val="both"/>
        <w:rPr>
          <w:kern w:val="22"/>
        </w:rPr>
      </w:pPr>
      <w:r>
        <w:rPr>
          <w:rStyle w:val="Hochgestellt"/>
        </w:rPr>
        <w:t>1</w:t>
      </w:r>
      <w:r>
        <w:t xml:space="preserve"> Il regolamento stabilisce l'area e le suddivisioni della zona di protezione delle acque sotterranee nonché le restrizioni d'utilizzazione e le misure di protezione necessarie a tutela delle acque sotterranee utilizzate come acqua potabile. </w:t>
      </w:r>
    </w:p>
    <w:p w14:paraId="74533414" w14:textId="098E90DA" w:rsidR="00986AD9" w:rsidRPr="00782E7A" w:rsidRDefault="001D1901" w:rsidP="00242ECD">
      <w:pPr>
        <w:spacing w:after="0"/>
        <w:rPr>
          <w:kern w:val="22"/>
        </w:rPr>
      </w:pPr>
      <w:r>
        <w:rPr>
          <w:rStyle w:val="Hochgestellt"/>
        </w:rPr>
        <w:t>2</w:t>
      </w:r>
      <w:r>
        <w:t> La zona di protezione delle acque sotterranee (zona S) è suddivisa in:</w:t>
      </w:r>
    </w:p>
    <w:p w14:paraId="4923CCA5" w14:textId="3631DF49" w:rsidR="00083440" w:rsidRPr="00782E7A" w:rsidRDefault="00083440" w:rsidP="00242ECD">
      <w:pPr>
        <w:pStyle w:val="AufzhlungStriche"/>
        <w:tabs>
          <w:tab w:val="clear" w:pos="3969"/>
          <w:tab w:val="left" w:pos="1985"/>
        </w:tabs>
        <w:spacing w:after="0"/>
        <w:ind w:left="567" w:hanging="426"/>
        <w:rPr>
          <w:kern w:val="22"/>
        </w:rPr>
      </w:pPr>
      <w:r>
        <w:t>zona S1</w:t>
      </w:r>
      <w:r>
        <w:tab/>
        <w:t>zona di captazione</w:t>
      </w:r>
    </w:p>
    <w:p w14:paraId="368C81E0" w14:textId="01D7D231" w:rsidR="00083440" w:rsidRPr="00782E7A" w:rsidRDefault="00083440" w:rsidP="00242ECD">
      <w:pPr>
        <w:pStyle w:val="AufzhlungStriche"/>
        <w:tabs>
          <w:tab w:val="clear" w:pos="3969"/>
          <w:tab w:val="left" w:pos="1985"/>
        </w:tabs>
        <w:spacing w:after="0"/>
        <w:ind w:left="567" w:hanging="426"/>
        <w:rPr>
          <w:kern w:val="22"/>
        </w:rPr>
      </w:pPr>
      <w:r>
        <w:t>zona S2</w:t>
      </w:r>
      <w:r>
        <w:tab/>
        <w:t>zona di protezione adiacente</w:t>
      </w:r>
    </w:p>
    <w:p w14:paraId="60E9DD31" w14:textId="09F0D742" w:rsidR="00083440" w:rsidRPr="00782E7A" w:rsidRDefault="00083440" w:rsidP="00E43E61">
      <w:pPr>
        <w:pStyle w:val="AufzhlungStriche"/>
        <w:tabs>
          <w:tab w:val="clear" w:pos="3969"/>
          <w:tab w:val="left" w:pos="1985"/>
        </w:tabs>
        <w:ind w:left="567" w:hanging="425"/>
        <w:rPr>
          <w:kern w:val="22"/>
        </w:rPr>
      </w:pPr>
      <w:r>
        <w:t>zona S3</w:t>
      </w:r>
      <w:r>
        <w:tab/>
        <w:t>zona di protezione distante</w:t>
      </w:r>
    </w:p>
    <w:p w14:paraId="29B8EA4D" w14:textId="79E541CF" w:rsidR="00986AD9" w:rsidRPr="00782E7A" w:rsidRDefault="001D1901" w:rsidP="00E43E61">
      <w:pPr>
        <w:jc w:val="both"/>
        <w:rPr>
          <w:kern w:val="22"/>
        </w:rPr>
      </w:pPr>
      <w:r>
        <w:rPr>
          <w:rStyle w:val="Hochgestellt"/>
        </w:rPr>
        <w:t>3</w:t>
      </w:r>
      <w:r>
        <w:t xml:space="preserve"> La zona S1 serve alla protezione diretta della captazione di acqua potabile. Con la zona S2 si intende proteggere la captazione di acqua potabile da influssi dannosi e interventi edilizi. La zona S3 è una zona cuscinetto nel passaggio al settore di protezione delle acque successivo. </w:t>
      </w:r>
    </w:p>
    <w:p w14:paraId="073F772D" w14:textId="402A7A9E" w:rsidR="00986AD9" w:rsidRPr="00782E7A" w:rsidRDefault="00986AD9" w:rsidP="0044481E">
      <w:pPr>
        <w:pStyle w:val="Artikel"/>
      </w:pPr>
      <w:r>
        <w:t xml:space="preserve">Art. </w:t>
      </w:r>
      <w:r>
        <w:fldChar w:fldCharType="begin"/>
      </w:r>
      <w:r>
        <w:instrText xml:space="preserve"> AUTONUMLGL  \e </w:instrText>
      </w:r>
      <w:r>
        <w:fldChar w:fldCharType="separate"/>
      </w:r>
      <w:r>
        <w:fldChar w:fldCharType="end"/>
      </w:r>
      <w:r>
        <w:tab/>
        <w:t>Basi legali e aiuti all'esecuzione</w:t>
      </w:r>
    </w:p>
    <w:p w14:paraId="633B1BA0" w14:textId="0917C011" w:rsidR="00242ECD" w:rsidRPr="00782E7A" w:rsidRDefault="00986AD9" w:rsidP="00E43E61">
      <w:pPr>
        <w:spacing w:after="60"/>
        <w:jc w:val="both"/>
        <w:rPr>
          <w:kern w:val="22"/>
        </w:rPr>
      </w:pPr>
      <w:r>
        <w:rPr>
          <w:rStyle w:val="Hochgestellt"/>
        </w:rPr>
        <w:t>1</w:t>
      </w:r>
      <w:r>
        <w:t> In relazione alle zone di protezione delle acque sotterranee e alla tutela delle acque sotterranee utilizzate come acqua potabile, oltre al presente regolamento trovano applicazione anche le disposizioni attuali dei seguenti atti normativi del diritto di rango superiore:</w:t>
      </w:r>
    </w:p>
    <w:p w14:paraId="1C933CF8" w14:textId="19126606" w:rsidR="00242ECD" w:rsidRPr="00256C79" w:rsidRDefault="00FF4C35" w:rsidP="00256C79">
      <w:pPr>
        <w:pStyle w:val="Listenabsatz"/>
        <w:numPr>
          <w:ilvl w:val="0"/>
          <w:numId w:val="43"/>
        </w:numPr>
        <w:spacing w:before="120" w:after="60"/>
        <w:ind w:left="357" w:hanging="357"/>
        <w:contextualSpacing w:val="0"/>
        <w:jc w:val="both"/>
        <w:rPr>
          <w:kern w:val="22"/>
        </w:rPr>
      </w:pPr>
      <w:r>
        <w:t>legislazione federale sulla protezione delle acque (legge federale sulla protezione delle acque, LPAc; RS 814.20; ordinanza sulla protezione delle acque, OPAc; RS 814.201);</w:t>
      </w:r>
    </w:p>
    <w:p w14:paraId="523E2E7F" w14:textId="74A06619" w:rsidR="006B7C85" w:rsidRPr="00782E7A" w:rsidRDefault="006B7C85" w:rsidP="00256C79">
      <w:pPr>
        <w:pStyle w:val="Listenabsatz"/>
        <w:numPr>
          <w:ilvl w:val="0"/>
          <w:numId w:val="43"/>
        </w:numPr>
        <w:spacing w:before="120" w:after="60"/>
        <w:ind w:left="357" w:hanging="357"/>
        <w:contextualSpacing w:val="0"/>
        <w:jc w:val="both"/>
        <w:rPr>
          <w:kern w:val="22"/>
        </w:rPr>
      </w:pPr>
      <w:r>
        <w:t>legislazione federale sul risanamento dei siti inquinati (ordinanza sui siti contaminati, OSiti, RS 814.680);</w:t>
      </w:r>
    </w:p>
    <w:p w14:paraId="4C94B973" w14:textId="5D63449C" w:rsidR="00242ECD" w:rsidRPr="00256C79" w:rsidRDefault="00FF4C35" w:rsidP="00256C79">
      <w:pPr>
        <w:pStyle w:val="Listenabsatz"/>
        <w:numPr>
          <w:ilvl w:val="0"/>
          <w:numId w:val="43"/>
        </w:numPr>
        <w:spacing w:before="120" w:after="60"/>
        <w:ind w:left="357" w:hanging="357"/>
        <w:contextualSpacing w:val="0"/>
        <w:jc w:val="both"/>
      </w:pPr>
      <w:r>
        <w:t>legislazione federale sulle sostanze pericolose per l'ambiente (ordinanza sulla riduzione dei rischi inerenti ai prodotti chimici, ORRPChim; RS 814.81);</w:t>
      </w:r>
    </w:p>
    <w:p w14:paraId="1C05DA66" w14:textId="03BF32DB" w:rsidR="00AC7E61" w:rsidRPr="00256C79" w:rsidRDefault="00FF4C35" w:rsidP="00256C79">
      <w:pPr>
        <w:pStyle w:val="Listenabsatz"/>
        <w:numPr>
          <w:ilvl w:val="0"/>
          <w:numId w:val="43"/>
        </w:numPr>
        <w:spacing w:before="120" w:after="60"/>
        <w:ind w:left="357" w:hanging="357"/>
        <w:contextualSpacing w:val="0"/>
        <w:jc w:val="both"/>
      </w:pPr>
      <w:r>
        <w:t>legislazione federale sulle derrate alimentari (legge sulle derrate alimentari, LDerr; RS 817.0; ordinanza sulle derrate alimentari e gli oggetti d'uso, ODerr; RS 817.02 e ordinanza del DFI sull'acqua potabile e sull'acqua per piscine e docce accessibili al pubblico, OPPD; RS 817.022.11);</w:t>
      </w:r>
    </w:p>
    <w:p w14:paraId="28CBAC27" w14:textId="7E57950A" w:rsidR="00FF4C35" w:rsidRPr="00782E7A" w:rsidRDefault="00FF4C35" w:rsidP="00256C79">
      <w:pPr>
        <w:pStyle w:val="Listenabsatz"/>
        <w:numPr>
          <w:ilvl w:val="0"/>
          <w:numId w:val="43"/>
        </w:numPr>
        <w:spacing w:before="120" w:after="60"/>
        <w:ind w:left="357" w:hanging="357"/>
        <w:contextualSpacing w:val="0"/>
        <w:jc w:val="both"/>
        <w:rPr>
          <w:kern w:val="22"/>
        </w:rPr>
      </w:pPr>
      <w:r>
        <w:t>legislazione cantonale sulla protezione delle acque (legge d'introduzione della legge federale sulla protezione delle acque, LCPAc; CSC 815.100 e ordinanza della legge d'introduzione alla legge federale sulla protezione delle acque, OCPAc; CSC 815.200).</w:t>
      </w:r>
    </w:p>
    <w:p w14:paraId="66527ADC" w14:textId="0936510C" w:rsidR="00E43E61" w:rsidRPr="00782E7A" w:rsidRDefault="00FF4C35" w:rsidP="00256C79">
      <w:pPr>
        <w:spacing w:before="240" w:after="60"/>
        <w:jc w:val="both"/>
        <w:rPr>
          <w:kern w:val="22"/>
        </w:rPr>
      </w:pPr>
      <w:r>
        <w:rPr>
          <w:vertAlign w:val="superscript"/>
        </w:rPr>
        <w:t>2</w:t>
      </w:r>
      <w:r>
        <w:t> Per la concretizzazione di concetti giuridici vaghi di leggi e ordinanze, per l'esecuzione conforme al diritto del diritto cantonale e federale nonché quale stato della tecnica e quale buona prassi professionale trovano applicazione, quali direttive, in particolare le versioni più recenti dei seguenti aiuti all'esecuzione:</w:t>
      </w:r>
    </w:p>
    <w:p w14:paraId="73E74915" w14:textId="77777777" w:rsidR="004E7343" w:rsidRPr="00256C79" w:rsidRDefault="00143D2C" w:rsidP="00256C79">
      <w:pPr>
        <w:pStyle w:val="Listenabsatz"/>
        <w:numPr>
          <w:ilvl w:val="0"/>
          <w:numId w:val="43"/>
        </w:numPr>
        <w:spacing w:before="120" w:after="60"/>
        <w:ind w:left="357" w:hanging="357"/>
        <w:contextualSpacing w:val="0"/>
        <w:jc w:val="both"/>
      </w:pPr>
      <w:r>
        <w:t>«Istruzioni pratiche per la protezione delle acque sotterranee» dell'Ufficio federale dell'ambiente, delle foreste e del paesaggio, UFAFP (oggi Ufficio federale dell'ambiente, UFAM);</w:t>
      </w:r>
    </w:p>
    <w:p w14:paraId="444CA017" w14:textId="77777777" w:rsidR="004E7343" w:rsidRPr="00256C79" w:rsidRDefault="00143D2C" w:rsidP="00256C79">
      <w:pPr>
        <w:pStyle w:val="Listenabsatz"/>
        <w:numPr>
          <w:ilvl w:val="0"/>
          <w:numId w:val="43"/>
        </w:numPr>
        <w:spacing w:before="120" w:after="60"/>
        <w:ind w:left="357" w:hanging="357"/>
        <w:contextualSpacing w:val="0"/>
        <w:jc w:val="both"/>
      </w:pPr>
      <w:r>
        <w:t>aiuto all'esecuzione «Grundwasserschutzzonen bei Lockergesteinen» (zone di protezione delle acque sotterranee in presenza di materiale sciolto) e «Protezione delle acque sotterranee negli acquiferi in rocce carsiche e fessurate fortemente eterogenei»;</w:t>
      </w:r>
    </w:p>
    <w:p w14:paraId="0726A420" w14:textId="77777777" w:rsidR="004E7343" w:rsidRPr="00256C79" w:rsidRDefault="00143D2C" w:rsidP="00256C79">
      <w:pPr>
        <w:pStyle w:val="Listenabsatz"/>
        <w:numPr>
          <w:ilvl w:val="0"/>
          <w:numId w:val="43"/>
        </w:numPr>
        <w:spacing w:before="120" w:after="60"/>
        <w:ind w:left="357" w:hanging="357"/>
        <w:contextualSpacing w:val="0"/>
        <w:jc w:val="both"/>
      </w:pPr>
      <w:r>
        <w:t>moduli dell'«Aiuto all'esecuzione per la protezione dell'ambiente nell'agricoltura» dell'UFAM / UFAG;</w:t>
      </w:r>
    </w:p>
    <w:p w14:paraId="570C573E" w14:textId="35849AFC" w:rsidR="00EB51A9" w:rsidRPr="00782E7A" w:rsidRDefault="00143D2C" w:rsidP="00256C79">
      <w:pPr>
        <w:pStyle w:val="Listenabsatz"/>
        <w:numPr>
          <w:ilvl w:val="0"/>
          <w:numId w:val="43"/>
        </w:numPr>
        <w:spacing w:before="120" w:after="60"/>
        <w:ind w:left="357" w:hanging="357"/>
        <w:contextualSpacing w:val="0"/>
        <w:jc w:val="both"/>
        <w:rPr>
          <w:kern w:val="22"/>
        </w:rPr>
      </w:pPr>
      <w:r>
        <w:t>direttiva VSA «Gestione delle acque di scarico in tempo di pioggia».</w:t>
      </w:r>
    </w:p>
    <w:p w14:paraId="73C67C5C" w14:textId="295D7C78" w:rsidR="004E7343" w:rsidRPr="00782E7A" w:rsidRDefault="004E7343" w:rsidP="000F38BD">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lastRenderedPageBreak/>
        <w:t>Mentre gli atti normativi del diritto di rango superiore menzionati nel capoverso 1 devono essere imperativamente osservati, i documenti menzionati nel capoverso 2 trovano applicazione solo in via sussidiaria, poiché sono privi di forza giuridica.</w:t>
      </w:r>
    </w:p>
    <w:p w14:paraId="6C4A4C86" w14:textId="259A58CD" w:rsidR="00CC766A" w:rsidRPr="00782E7A" w:rsidRDefault="00CC766A" w:rsidP="0044481E">
      <w:pPr>
        <w:pStyle w:val="Artikel"/>
      </w:pPr>
      <w:r>
        <w:t xml:space="preserve">Art. </w:t>
      </w:r>
      <w:r>
        <w:fldChar w:fldCharType="begin"/>
      </w:r>
      <w:r>
        <w:instrText xml:space="preserve"> AUTONUMLGL  \e </w:instrText>
      </w:r>
      <w:r>
        <w:fldChar w:fldCharType="separate"/>
      </w:r>
      <w:r>
        <w:fldChar w:fldCharType="end"/>
      </w:r>
      <w:r>
        <w:tab/>
        <w:t>Competenza per l'esecuzione</w:t>
      </w:r>
    </w:p>
    <w:p w14:paraId="6CF28C49" w14:textId="7041DF2A" w:rsidR="00C61771" w:rsidRPr="00782E7A" w:rsidRDefault="00CC766A" w:rsidP="004E7343">
      <w:pPr>
        <w:jc w:val="both"/>
      </w:pPr>
      <w:r>
        <w:rPr>
          <w:rStyle w:val="Hochgestellt"/>
        </w:rPr>
        <w:t>1</w:t>
      </w:r>
      <w:r>
        <w:t> Conformemente al diritto di rango superiore, il municipio è competente per l'esecuzione del regolamento, se il diritto di rango superiore non dichiara competente un'altra autorità. Se esiste una minaccia concreta per le acque sotterranee, esso è tenuto a ordinare restrizioni d'utilizzazione e misure di protezione, anche se non espressamente previste nel presente regolamento.</w:t>
      </w:r>
    </w:p>
    <w:p w14:paraId="715DB9B6" w14:textId="266AB5A8" w:rsidR="00CC766A" w:rsidRPr="00782E7A" w:rsidRDefault="00CC766A" w:rsidP="00AC7E61">
      <w:pPr>
        <w:jc w:val="both"/>
      </w:pPr>
      <w:r>
        <w:rPr>
          <w:rStyle w:val="Hochgestellt"/>
        </w:rPr>
        <w:t>2</w:t>
      </w:r>
      <w:r>
        <w:t> La costruzione e la modifica di edifici e impianti di ogni tipo (edilizia e genio civile, impianti per le acque di scarico, vie di comunicazione, impianti sportivi, impianti per il deposito di liquidi nocivi alle acque, vivai, modifiche del terreno, depositi di materiale, discariche, ecc.), nonché lavori di scavo, di sterro e simili necessitano di un'autorizzazione cantonale in materia di diritto sulla protezione delle acque, se presentano un potenziale rischio di inquinamento delle acque. Questa autorizzazione viene rilasciata dal servizio specializzato preposto alla protezione delle acque, se il diritto di rango superiore non dichiara competente un'altra autorità.</w:t>
      </w:r>
    </w:p>
    <w:p w14:paraId="33AA6E22" w14:textId="357EACB9" w:rsidR="00986AD9" w:rsidRPr="00782E7A" w:rsidRDefault="00CC766A" w:rsidP="00AC7E61">
      <w:pPr>
        <w:jc w:val="both"/>
      </w:pPr>
      <w:r>
        <w:rPr>
          <w:rStyle w:val="Hochgestellt"/>
        </w:rPr>
        <w:t>3</w:t>
      </w:r>
      <w:r>
        <w:t> I progetti conformemente al capoverso 2 vanno sottoposti al servizio specializzato cantonale preposto alla protezione delle acque tramite il Comune. Esso decide in base al diritto cantonale e federale in merito alla necessità di un'autorizzazione in materia di diritto sulla protezione delle acque e alla possibilità di rilasciarla.</w:t>
      </w:r>
    </w:p>
    <w:p w14:paraId="07D69626" w14:textId="010E6F25" w:rsidR="004E7343" w:rsidRPr="00782E7A" w:rsidRDefault="004E7343" w:rsidP="00BA07EF">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 xml:space="preserve">Questa disposizione riassume le direttive del diritto di rango superiore al fine di migliorare la comprensibilità e la leggibilità per gli interessati nel Comune. </w:t>
      </w:r>
      <w:r>
        <w:rPr>
          <w:sz w:val="20"/>
        </w:rPr>
        <w:tab/>
      </w:r>
      <w:r>
        <w:rPr>
          <w:sz w:val="20"/>
        </w:rPr>
        <w:br/>
        <w:t>Conformemente al diritto cantonale, il servizio specializzato cantonale preposto alla protezione delle acque è l'UNA.</w:t>
      </w:r>
    </w:p>
    <w:p w14:paraId="2C4FE14C" w14:textId="10644BE5" w:rsidR="00CC766A" w:rsidRPr="00782E7A" w:rsidRDefault="00CC766A" w:rsidP="0044481E">
      <w:pPr>
        <w:pStyle w:val="Artikel"/>
      </w:pPr>
      <w:r>
        <w:t xml:space="preserve">Art. </w:t>
      </w:r>
      <w:r>
        <w:fldChar w:fldCharType="begin"/>
      </w:r>
      <w:r>
        <w:instrText xml:space="preserve"> AUTONUMLGL  \e </w:instrText>
      </w:r>
      <w:r>
        <w:fldChar w:fldCharType="separate"/>
      </w:r>
      <w:r>
        <w:fldChar w:fldCharType="end"/>
      </w:r>
      <w:r>
        <w:tab/>
        <w:t>Controllo del rispetto delle prescrizioni relative alle zone di protezione</w:t>
      </w:r>
    </w:p>
    <w:p w14:paraId="43FF318A" w14:textId="1D4A8CFD" w:rsidR="00AC7E61" w:rsidRPr="00782E7A" w:rsidRDefault="00AC7E61" w:rsidP="006B7C85">
      <w:pPr>
        <w:jc w:val="both"/>
      </w:pPr>
      <w:r>
        <w:rPr>
          <w:vertAlign w:val="superscript"/>
        </w:rPr>
        <w:t>1</w:t>
      </w:r>
      <w:r>
        <w:t> </w:t>
      </w:r>
      <w:r>
        <w:rPr>
          <w:highlight w:val="yellow"/>
        </w:rPr>
        <w:t>[Il/la proprietario/a della captazione d'acqua]</w:t>
      </w:r>
      <w:r>
        <w:t xml:space="preserve"> controlla il rispetto delle restrizioni d'utilizzazione e l'attuazione delle misure di protezione e segnala immediatamente le relative infrazioni al municipio del Comune di </w:t>
      </w:r>
      <w:r>
        <w:rPr>
          <w:highlight w:val="yellow"/>
        </w:rPr>
        <w:t>[nome del Comune sul cui territorio si trova la captazione d'acqua].</w:t>
      </w:r>
      <w:r>
        <w:t xml:space="preserve"> Il municipio deve adottare le misure necessarie.</w:t>
      </w:r>
    </w:p>
    <w:p w14:paraId="2F3EFA68" w14:textId="49AD235B" w:rsidR="00435A23" w:rsidRPr="00782E7A" w:rsidRDefault="00AC7E61" w:rsidP="006B7C85">
      <w:pPr>
        <w:jc w:val="both"/>
      </w:pPr>
      <w:r>
        <w:rPr>
          <w:vertAlign w:val="superscript"/>
        </w:rPr>
        <w:t>2</w:t>
      </w:r>
      <w:r>
        <w:t> </w:t>
      </w:r>
      <w:r>
        <w:rPr>
          <w:highlight w:val="yellow"/>
        </w:rPr>
        <w:t>Il/la proprietario/a</w:t>
      </w:r>
      <w:r>
        <w:t xml:space="preserve"> della captazione d'acqua può affidare il controllo e la segnalazione a terzi.</w:t>
      </w:r>
    </w:p>
    <w:p w14:paraId="1E1939E8" w14:textId="5815A495" w:rsidR="00CC766A" w:rsidRPr="00782E7A" w:rsidRDefault="00CC766A" w:rsidP="0044481E">
      <w:pPr>
        <w:pStyle w:val="Artikel"/>
      </w:pPr>
      <w:r>
        <w:t xml:space="preserve">Art. </w:t>
      </w:r>
      <w:r>
        <w:fldChar w:fldCharType="begin"/>
      </w:r>
      <w:r>
        <w:instrText xml:space="preserve"> AUTONUMLGL  \e </w:instrText>
      </w:r>
      <w:r>
        <w:fldChar w:fldCharType="separate"/>
      </w:r>
      <w:r>
        <w:fldChar w:fldCharType="end"/>
      </w:r>
      <w:r>
        <w:tab/>
        <w:t>Controllo della qualità dell'acqua potabile</w:t>
      </w:r>
    </w:p>
    <w:p w14:paraId="48CF2FC1" w14:textId="37B56427" w:rsidR="000B3025" w:rsidRPr="00782E7A" w:rsidRDefault="00A0748E" w:rsidP="006B7C85">
      <w:pPr>
        <w:jc w:val="both"/>
      </w:pPr>
      <w:r>
        <w:rPr>
          <w:vertAlign w:val="superscript"/>
        </w:rPr>
        <w:t>1</w:t>
      </w:r>
      <w:r>
        <w:t> </w:t>
      </w:r>
      <w:r>
        <w:rPr>
          <w:highlight w:val="yellow"/>
        </w:rPr>
        <w:t>[Il/la proprietario/a della captazione d'acqua]</w:t>
      </w:r>
      <w:r>
        <w:t xml:space="preserve"> deve fare esaminare a scadenze regolari l'acqua grezza. L'entità degli esami si conforma alla legislazione sulle derrate alimentari e all'ordinanza sulla protezione delle acque (requisiti posti alla qualità delle acque sotterranee).</w:t>
      </w:r>
    </w:p>
    <w:p w14:paraId="4F67DAFA" w14:textId="6BD3CE6D" w:rsidR="000B3025" w:rsidRPr="00782E7A" w:rsidRDefault="00A0748E" w:rsidP="006B7C85">
      <w:pPr>
        <w:spacing w:after="120"/>
        <w:jc w:val="both"/>
      </w:pPr>
      <w:r>
        <w:rPr>
          <w:vertAlign w:val="superscript"/>
        </w:rPr>
        <w:t>2</w:t>
      </w:r>
      <w:r>
        <w:t xml:space="preserve"> Il Comune e l'autorità cantonale devono essere immediatamente informati se:</w:t>
      </w:r>
    </w:p>
    <w:p w14:paraId="5E4876D2" w14:textId="4DA23C27" w:rsidR="000B3025" w:rsidRPr="00782E7A" w:rsidRDefault="000B3025" w:rsidP="00B301AA">
      <w:pPr>
        <w:numPr>
          <w:ilvl w:val="0"/>
          <w:numId w:val="16"/>
        </w:numPr>
        <w:shd w:val="clear" w:color="auto" w:fill="FFFFFF" w:themeFill="background1"/>
        <w:tabs>
          <w:tab w:val="clear" w:pos="420"/>
          <w:tab w:val="left" w:pos="851"/>
          <w:tab w:val="left" w:pos="1276"/>
          <w:tab w:val="left" w:pos="5216"/>
          <w:tab w:val="decimal" w:pos="7938"/>
          <w:tab w:val="right" w:pos="9299"/>
        </w:tabs>
        <w:spacing w:after="120"/>
        <w:ind w:left="284" w:hanging="284"/>
        <w:jc w:val="both"/>
      </w:pPr>
      <w:r>
        <w:t>i requisiti previsti dalla legislazione sulle derrate alimentari relativi alla qualità chimico-fisica o batteriologica dell'acqua conformemente all'ordinanza del DFI (OPPD) non sono soddisfatti;</w:t>
      </w:r>
    </w:p>
    <w:p w14:paraId="1D033381" w14:textId="77777777" w:rsidR="000B3025" w:rsidRPr="00782E7A" w:rsidRDefault="000B3025" w:rsidP="00B301AA">
      <w:pPr>
        <w:numPr>
          <w:ilvl w:val="0"/>
          <w:numId w:val="16"/>
        </w:numPr>
        <w:tabs>
          <w:tab w:val="clear" w:pos="420"/>
          <w:tab w:val="left" w:pos="851"/>
          <w:tab w:val="left" w:pos="1276"/>
          <w:tab w:val="left" w:pos="5216"/>
          <w:tab w:val="decimal" w:pos="7938"/>
          <w:tab w:val="right" w:pos="9299"/>
        </w:tabs>
        <w:spacing w:after="120"/>
        <w:ind w:left="284" w:hanging="284"/>
        <w:jc w:val="both"/>
      </w:pPr>
      <w:r>
        <w:t>i requisiti numerici relativi alla qualità dell'acqua conformemente all'ordinanza sulla protezione delle acque non sono soddisfatti; oppure</w:t>
      </w:r>
    </w:p>
    <w:p w14:paraId="1EDB8DD8" w14:textId="010DC581" w:rsidR="000B3025" w:rsidRPr="00782E7A" w:rsidRDefault="000B3025" w:rsidP="00B301AA">
      <w:pPr>
        <w:numPr>
          <w:ilvl w:val="0"/>
          <w:numId w:val="16"/>
        </w:numPr>
        <w:tabs>
          <w:tab w:val="clear" w:pos="420"/>
          <w:tab w:val="left" w:pos="851"/>
          <w:tab w:val="left" w:pos="1276"/>
          <w:tab w:val="left" w:pos="5216"/>
          <w:tab w:val="decimal" w:pos="7938"/>
          <w:tab w:val="right" w:pos="9299"/>
        </w:tabs>
        <w:spacing w:after="120"/>
        <w:ind w:left="284" w:hanging="284"/>
        <w:jc w:val="both"/>
      </w:pPr>
      <w:r>
        <w:lastRenderedPageBreak/>
        <w:t>la concentrazione di sostanze per le quali la legislazione sulle derrate alimentari, l'ordinanza sulla protezione delle acque o l'ordinanza sui siti contaminati prevedono requisiti numerici è in costante aumento.</w:t>
      </w:r>
    </w:p>
    <w:p w14:paraId="385AE898" w14:textId="2EF52C24" w:rsidR="006B7C85" w:rsidRPr="00782E7A" w:rsidRDefault="006B7C85" w:rsidP="00835311">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pPr>
      <w:r>
        <w:rPr>
          <w:sz w:val="20"/>
        </w:rPr>
        <w:t>L'autorità cantonale è l'Ufficio per la sicurezza delle derrate alimentari e salute degli animali (USDA).</w:t>
      </w:r>
    </w:p>
    <w:p w14:paraId="67DD50DD" w14:textId="2E3A9E75" w:rsidR="00CC766A" w:rsidRPr="00782E7A" w:rsidRDefault="00CC766A" w:rsidP="0044481E">
      <w:pPr>
        <w:pStyle w:val="Artikel"/>
      </w:pPr>
      <w:r>
        <w:t xml:space="preserve">Art. </w:t>
      </w:r>
      <w:r>
        <w:fldChar w:fldCharType="begin"/>
      </w:r>
      <w:r>
        <w:instrText xml:space="preserve"> AUTONUMLGL  \e </w:instrText>
      </w:r>
      <w:r>
        <w:fldChar w:fldCharType="separate"/>
      </w:r>
      <w:r>
        <w:fldChar w:fldCharType="end"/>
      </w:r>
      <w:r>
        <w:tab/>
        <w:t>Obbligo di informazione</w:t>
      </w:r>
    </w:p>
    <w:p w14:paraId="30740D5F" w14:textId="4A80DE01" w:rsidR="00986AD9" w:rsidRPr="00782E7A" w:rsidRDefault="00CC766A" w:rsidP="006B7C85">
      <w:pPr>
        <w:jc w:val="both"/>
      </w:pPr>
      <w:r>
        <w:t>I/le proprietari/e di fondi nelle zone di protezione delle acque sotterranee conformemente all'articolo 2 capoverso 2 sono tenuti/e a informare affittuari/e, inquilini/e e usufruttuari/e, nonché altre persone e imprese che eseguono lavori sui fondi, in merito a restrizioni d'utilizzazione e a misure di protezione.</w:t>
      </w:r>
    </w:p>
    <w:p w14:paraId="5E4B5D05" w14:textId="6AB7FC85" w:rsidR="009F1A53" w:rsidRPr="00782E7A" w:rsidRDefault="009F1A53" w:rsidP="0044481E">
      <w:pPr>
        <w:pStyle w:val="Artikel"/>
      </w:pPr>
      <w:r>
        <w:t xml:space="preserve">Art. </w:t>
      </w:r>
      <w:r>
        <w:fldChar w:fldCharType="begin"/>
      </w:r>
      <w:r>
        <w:instrText xml:space="preserve"> AUTONUMLGL  \e </w:instrText>
      </w:r>
      <w:r>
        <w:fldChar w:fldCharType="separate"/>
      </w:r>
      <w:r>
        <w:fldChar w:fldCharType="end"/>
      </w:r>
      <w:r>
        <w:tab/>
        <w:t>Demarcazione della zona di protezione delle acque</w:t>
      </w:r>
    </w:p>
    <w:p w14:paraId="0C3C6B5A" w14:textId="77777777" w:rsidR="009F1A53" w:rsidRPr="00782E7A" w:rsidRDefault="009F1A53" w:rsidP="009F1A53">
      <w:pPr>
        <w:spacing w:after="120"/>
        <w:jc w:val="both"/>
      </w:pPr>
      <w:r>
        <w:rPr>
          <w:vertAlign w:val="superscript"/>
        </w:rPr>
        <w:t>1</w:t>
      </w:r>
      <w:r>
        <w:t xml:space="preserve"> La zona di protezione delle acque e le rispettive parti devono essere demarcate in modo permanente nel terreno in modo che i confini della zona e delle sue parti risultino chiaramente per chi si occupa della coltivazione del terreno e della gestione forestale come anche per chi si occupa del controllo delle zone di protezione. Si può rinunciare a una demarcazione se il confine coincide con caratteristiche evidenti del terreno quali strade, sentieri, margini di boschi, corsi d'acqua, ecc. </w:t>
      </w:r>
    </w:p>
    <w:p w14:paraId="61540618" w14:textId="77777777" w:rsidR="009F1A53" w:rsidRPr="00782E7A" w:rsidRDefault="009F1A53" w:rsidP="009F1A53">
      <w:pPr>
        <w:jc w:val="both"/>
      </w:pPr>
      <w:r>
        <w:rPr>
          <w:vertAlign w:val="superscript"/>
        </w:rPr>
        <w:t>2</w:t>
      </w:r>
      <w:r>
        <w:t> Le demarcazioni nel bosco devono essere preventivamente concordate con il servizio forestale competente (forestale di settore). La segnaletica sulle strade pubbliche deve essere apposta d'intesa con il municipio (strade comunali) o l'Ufficio tecnico (strade cantonali).</w:t>
      </w:r>
    </w:p>
    <w:p w14:paraId="6F7AC066" w14:textId="77777777" w:rsidR="009F1A53" w:rsidRPr="00782E7A" w:rsidRDefault="009F1A53" w:rsidP="009F1A53">
      <w:pPr>
        <w:jc w:val="both"/>
      </w:pPr>
      <w:r>
        <w:rPr>
          <w:vertAlign w:val="superscript"/>
        </w:rPr>
        <w:t>3</w:t>
      </w:r>
      <w:r>
        <w:t> In caso di strade che attraversano o costeggiano la zona di protezione delle acque sotterranee, sul bordo esterno della zona di protezione delle acque sotterranee deve essere apposto il segnale di indicazione «Zona di protezione delle acque» con il cartello complementare «Lunghezza del tratto» (art. 46 e allegato 2 n. 4.10 rispettivamente n. 5.03 ordinanza sulla segnaletica stradale [OSStr; RS 741.21]). Sono fatte salve altre misure di segnaletica (come ad es. segnali di divieto) conformemente al catasto dei pericoli (allegato 1). La procedura si conforma al diritto cantonale.</w:t>
      </w:r>
    </w:p>
    <w:p w14:paraId="533408A8" w14:textId="34F0FF3E" w:rsidR="009F1A53" w:rsidRPr="00782E7A" w:rsidRDefault="009F1A53" w:rsidP="009F1A53">
      <w:pPr>
        <w:jc w:val="both"/>
      </w:pPr>
      <w:r>
        <w:rPr>
          <w:vertAlign w:val="superscript"/>
        </w:rPr>
        <w:t>4</w:t>
      </w:r>
      <w:r>
        <w:t xml:space="preserve"> Le demarcazioni devono essere realizzate </w:t>
      </w:r>
      <w:bookmarkStart w:id="1" w:name="_Hlk208792222"/>
      <w:r>
        <w:rPr>
          <w:highlight w:val="yellow"/>
        </w:rPr>
        <w:t>dal/dalla proprietario/a</w:t>
      </w:r>
      <w:r>
        <w:t xml:space="preserve"> della captazione d'acqua</w:t>
      </w:r>
      <w:bookmarkEnd w:id="1"/>
      <w:r>
        <w:t xml:space="preserve"> entro un anno dall'entrata in vigore del presente regolamento e successivamente mantenute.</w:t>
      </w:r>
    </w:p>
    <w:p w14:paraId="471097E1" w14:textId="643A354C" w:rsidR="00835311" w:rsidRPr="00782E7A" w:rsidRDefault="00835311" w:rsidP="00835311">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Mezzi idonei per la demarcazione secondo il capoverso 1 sono ad esempio pali, demarcazioni su alberi o su strade, grandi blocchi, siepi, ecc.</w:t>
      </w:r>
    </w:p>
    <w:p w14:paraId="561EFDE4" w14:textId="628D5201" w:rsidR="003D0ACF" w:rsidRPr="00782E7A" w:rsidRDefault="003D0ACF" w:rsidP="0044481E">
      <w:pPr>
        <w:pStyle w:val="Artikel"/>
      </w:pPr>
      <w:r>
        <w:t xml:space="preserve">Art. </w:t>
      </w:r>
      <w:r>
        <w:fldChar w:fldCharType="begin"/>
      </w:r>
      <w:r>
        <w:instrText xml:space="preserve"> AUTONUMLGL  \e </w:instrText>
      </w:r>
      <w:r>
        <w:fldChar w:fldCharType="separate"/>
      </w:r>
      <w:r>
        <w:fldChar w:fldCharType="end"/>
      </w:r>
      <w:r>
        <w:tab/>
        <w:t>Proprietà e recinzione della zona di protezione S1</w:t>
      </w:r>
    </w:p>
    <w:p w14:paraId="7DFEFA54" w14:textId="4B1DE6C0" w:rsidR="003D0ACF" w:rsidRPr="00782E7A" w:rsidRDefault="003D0ACF" w:rsidP="00B8431D">
      <w:pPr>
        <w:spacing w:after="120"/>
        <w:jc w:val="both"/>
      </w:pPr>
      <w:r>
        <w:rPr>
          <w:highlight w:val="yellow"/>
          <w:vertAlign w:val="superscript"/>
        </w:rPr>
        <w:t>1</w:t>
      </w:r>
      <w:r>
        <w:rPr>
          <w:highlight w:val="yellow"/>
        </w:rPr>
        <w:t> Al momento della delimitazione delle zone di protezione, la zona S1 è di proprietà dell'ente responsabile dell'approvvigionamento idrico, del Comune o di un altro ente di diritto pubblico.</w:t>
      </w:r>
      <w:r>
        <w:br/>
      </w:r>
      <w:r>
        <w:rPr>
          <w:sz w:val="20"/>
          <w:shd w:val="clear" w:color="auto" w:fill="FDE9D9" w:themeFill="accent6" w:themeFillTint="33"/>
        </w:rPr>
        <w:t>[Variante 1]</w:t>
      </w:r>
    </w:p>
    <w:p w14:paraId="39D654F0" w14:textId="4A7FEA34" w:rsidR="003D0ACF" w:rsidRPr="00782E7A" w:rsidRDefault="00B8431D" w:rsidP="00B8431D">
      <w:pPr>
        <w:spacing w:after="120"/>
        <w:jc w:val="both"/>
        <w:rPr>
          <w:kern w:val="22"/>
          <w:sz w:val="20"/>
          <w:szCs w:val="20"/>
        </w:rPr>
      </w:pPr>
      <w:r>
        <w:rPr>
          <w:highlight w:val="yellow"/>
          <w:vertAlign w:val="superscript"/>
        </w:rPr>
        <w:t>1</w:t>
      </w:r>
      <w:r>
        <w:rPr>
          <w:highlight w:val="yellow"/>
        </w:rPr>
        <w:t> Al momento della delimitazione delle zone di protezione, la zona S1 non è di proprietà dell'ente responsabile dell'approvvigionamento idrico, del Comune o di un altro ente di diritto pubblico. Si deve mirare a un corrispondente acquisto della proprietà. Le disposizioni previste dal diritto in materia di pianificazione del territorio vengono applicate per analogia.</w:t>
      </w:r>
      <w:r>
        <w:tab/>
        <w:t xml:space="preserve"> </w:t>
      </w:r>
      <w:r>
        <w:br/>
      </w:r>
      <w:r>
        <w:rPr>
          <w:sz w:val="20"/>
          <w:shd w:val="clear" w:color="auto" w:fill="FDE9D9" w:themeFill="accent6" w:themeFillTint="33"/>
        </w:rPr>
        <w:t>[Variante 2]</w:t>
      </w:r>
    </w:p>
    <w:p w14:paraId="41EB9128" w14:textId="77777777" w:rsidR="00B8431D" w:rsidRPr="00782E7A" w:rsidRDefault="00B8431D" w:rsidP="00B8431D">
      <w:pPr>
        <w:jc w:val="both"/>
        <w:rPr>
          <w:kern w:val="22"/>
        </w:rPr>
      </w:pPr>
      <w:r>
        <w:rPr>
          <w:vertAlign w:val="superscript"/>
        </w:rPr>
        <w:lastRenderedPageBreak/>
        <w:t>2</w:t>
      </w:r>
      <w:r>
        <w:t xml:space="preserve"> Al di fuori del bosco, la zona S1 deve essere recintata </w:t>
      </w:r>
      <w:r>
        <w:rPr>
          <w:highlight w:val="yellow"/>
        </w:rPr>
        <w:t>dal/dalla proprietario/a</w:t>
      </w:r>
      <w:r>
        <w:t xml:space="preserve"> della captazione d'acqua entro un anno dall'entrata in vigore del presente regolamento.  La manutenzione della recinzione compete </w:t>
      </w:r>
      <w:r>
        <w:rPr>
          <w:highlight w:val="yellow"/>
        </w:rPr>
        <w:t>al/alla proprietario/a</w:t>
      </w:r>
      <w:r>
        <w:t xml:space="preserve"> della captazione d'acqua.</w:t>
      </w:r>
    </w:p>
    <w:p w14:paraId="6E854EBB" w14:textId="3A4CFFEB" w:rsidR="003D0ACF" w:rsidRPr="00782E7A" w:rsidRDefault="003D0ACF" w:rsidP="003D0ACF">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 xml:space="preserve">Il capoverso 1 stabilisce se l'area/le aree della zona di protezione S1 sia/siano di proprietà di un ente di diritto pubblico [ente responsabile dell'approvvigionamento idrico, Comune o un altro ente (variante 1)] o meno. Nel regolamento occorre selezionare la variante corrispondente. </w:t>
      </w:r>
      <w:r>
        <w:rPr>
          <w:sz w:val="20"/>
        </w:rPr>
        <w:tab/>
      </w:r>
      <w:r>
        <w:rPr>
          <w:sz w:val="20"/>
        </w:rPr>
        <w:br/>
        <w:t>Nel caso di più captazioni di acque sotterranee o di sorgenti con differenti rapporti di proprietà, la disposizione deve essere adeguata di conseguenza.</w:t>
      </w:r>
    </w:p>
    <w:p w14:paraId="6F31BC3E" w14:textId="35805484" w:rsidR="00986AD9" w:rsidRPr="00782E7A" w:rsidRDefault="00CC766A" w:rsidP="006C07F7">
      <w:pPr>
        <w:pStyle w:val="berschrift1"/>
        <w:ind w:left="357" w:hanging="357"/>
      </w:pPr>
      <w:r>
        <w:t>Restrizioni d'utilizzazione e misure di protezione</w:t>
      </w:r>
    </w:p>
    <w:p w14:paraId="620F8258" w14:textId="576DCB97" w:rsidR="00CC766A" w:rsidRPr="00782E7A" w:rsidRDefault="00CC766A" w:rsidP="0044481E">
      <w:pPr>
        <w:pStyle w:val="Artikel"/>
      </w:pPr>
      <w:r>
        <w:t xml:space="preserve">Art. </w:t>
      </w:r>
      <w:r>
        <w:fldChar w:fldCharType="begin"/>
      </w:r>
      <w:r>
        <w:instrText xml:space="preserve"> AUTONUMLGL  \e </w:instrText>
      </w:r>
      <w:r>
        <w:fldChar w:fldCharType="separate"/>
      </w:r>
      <w:r>
        <w:fldChar w:fldCharType="end"/>
      </w:r>
      <w:r>
        <w:tab/>
        <w:t>Principio, a) In generale</w:t>
      </w:r>
    </w:p>
    <w:p w14:paraId="0808527F" w14:textId="66D996C1" w:rsidR="00CC766A" w:rsidRPr="00782E7A" w:rsidRDefault="00CC766A" w:rsidP="001B2749">
      <w:pPr>
        <w:jc w:val="both"/>
      </w:pPr>
      <w:r>
        <w:rPr>
          <w:rStyle w:val="Hochgestellt"/>
          <w:sz w:val="22"/>
        </w:rPr>
        <w:t>1</w:t>
      </w:r>
      <w:r>
        <w:t> Non sono ammessi edifici e impianti, nonché utilizzazioni da cui possa derivare una minaccia per le acque sotterranee captate quale acqua potabile.</w:t>
      </w:r>
    </w:p>
    <w:p w14:paraId="42519486" w14:textId="30C5DEA1" w:rsidR="00124E61" w:rsidRPr="00782E7A" w:rsidRDefault="00CC766A" w:rsidP="00BC159C">
      <w:pPr>
        <w:jc w:val="both"/>
      </w:pPr>
      <w:r>
        <w:rPr>
          <w:rStyle w:val="Hochgestellt"/>
          <w:sz w:val="22"/>
        </w:rPr>
        <w:t>2</w:t>
      </w:r>
      <w:r>
        <w:t> Le restrizioni d'utilizzazione e le misure di protezione all'interno della zona di protezione delle acque sotterranee valgono per edifici e impianti sia nuovi sia esistenti nonché per tutte le altre attività come pure per l'utilizzazione agricola. È fatto salvo il diritto di rango superiore.</w:t>
      </w:r>
    </w:p>
    <w:p w14:paraId="4EBBAFF8" w14:textId="03C0975C" w:rsidR="00EA7491" w:rsidRPr="00782E7A" w:rsidRDefault="00EA7491" w:rsidP="00BC159C">
      <w:pPr>
        <w:jc w:val="both"/>
      </w:pPr>
      <w:r>
        <w:rPr>
          <w:vertAlign w:val="superscript"/>
        </w:rPr>
        <w:t>3</w:t>
      </w:r>
      <w:r>
        <w:t> Difetti di edifici e impianti che rappresentano una minaccia concreta per le acque sotterranee ovvero compromettono la qualità dell'acqua potabile captata devono essere eliminati senza indugio dal/dalla proprietario/a dell'edificio o dell'impianto.</w:t>
      </w:r>
    </w:p>
    <w:p w14:paraId="58B7AAA8" w14:textId="2CDAFFF2" w:rsidR="0099714E" w:rsidRPr="00782E7A" w:rsidRDefault="0099714E" w:rsidP="0099714E">
      <w:pPr>
        <w:jc w:val="both"/>
      </w:pPr>
      <w:r>
        <w:rPr>
          <w:vertAlign w:val="superscript"/>
        </w:rPr>
        <w:t>4</w:t>
      </w:r>
      <w:r>
        <w:t> Tutti i progetti di costruzione nella zona di protezione delle acque sotterranee (edifici e impianti esistenti e nuovi) nonché le modifiche dell'utilizzazione necessitano, oltre che di una licenza edilizia, di un'autorizzazione in materia di diritto sulla protezione delle acque secondo l'articolo 19 capoverso 2 LPAc, eventualmente in unione con l'allegato 4 numero 222 OPAc rilasciata dal servizio specializzato preposto alla protezione delle acque. La valutazione avviene caso per caso e si basa su una perizia idrogeologica.</w:t>
      </w:r>
    </w:p>
    <w:p w14:paraId="00290349" w14:textId="43483007" w:rsidR="0099714E" w:rsidRPr="00782E7A" w:rsidRDefault="0099714E" w:rsidP="0044481E">
      <w:pPr>
        <w:pStyle w:val="Artikel"/>
      </w:pPr>
      <w:r>
        <w:t xml:space="preserve">Art. </w:t>
      </w:r>
      <w:r>
        <w:fldChar w:fldCharType="begin"/>
      </w:r>
      <w:r>
        <w:instrText xml:space="preserve"> AUTONUMLGL  \e </w:instrText>
      </w:r>
      <w:r>
        <w:fldChar w:fldCharType="separate"/>
      </w:r>
      <w:r>
        <w:fldChar w:fldCharType="end"/>
      </w:r>
      <w:r>
        <w:t xml:space="preserve"> Principio b) Utilizzazioni ammesse e restrizioni d'utilizzazione</w:t>
      </w:r>
    </w:p>
    <w:p w14:paraId="2C32024E" w14:textId="5E8F3E50" w:rsidR="00960E9C" w:rsidRPr="00782E7A" w:rsidRDefault="00960E9C" w:rsidP="003264A0">
      <w:pPr>
        <w:jc w:val="both"/>
      </w:pPr>
      <w:r>
        <w:t>Se edifici e impianti nonché utilizzazioni esistenti non devono essere rimossi dalle zone di protezione o abbandonati, conformemente al diritto di rango superiore per lavori di manutenzione e ristrutturazioni nonché per nuovi edifici, impianti e utilizzazioni valgono le seguenti disposizioni:</w:t>
      </w:r>
    </w:p>
    <w:p w14:paraId="0503DC3C" w14:textId="77777777" w:rsidR="003132CA" w:rsidRPr="00782E7A" w:rsidRDefault="003132CA" w:rsidP="003132CA">
      <w:pPr>
        <w:pStyle w:val="Listenabsatz"/>
        <w:numPr>
          <w:ilvl w:val="0"/>
          <w:numId w:val="37"/>
        </w:numPr>
        <w:spacing w:after="60"/>
        <w:ind w:left="284" w:hanging="284"/>
        <w:rPr>
          <w:b/>
        </w:rPr>
      </w:pPr>
      <w:r>
        <w:rPr>
          <w:b/>
        </w:rPr>
        <w:t>Zona S1</w:t>
      </w:r>
    </w:p>
    <w:p w14:paraId="677EAC75" w14:textId="704AE59C" w:rsidR="00D73088" w:rsidRPr="00782E7A" w:rsidRDefault="00960E9C" w:rsidP="003132CA">
      <w:pPr>
        <w:ind w:left="284"/>
        <w:jc w:val="both"/>
      </w:pPr>
      <w:r>
        <w:t>Sono ammessi solo gli interventi edilizi e le utilizzazioni che servono all'approvvigionamento di acqua potabile. La gestione di edifici, impianti e utilizzazioni esistenti che non servono all'approvvigionamento di acqua potabile è disciplinata nel catasto dei pericoli (allegato 1).</w:t>
      </w:r>
    </w:p>
    <w:p w14:paraId="18CEEB4D" w14:textId="77777777" w:rsidR="003132CA" w:rsidRPr="00782E7A" w:rsidRDefault="003132CA" w:rsidP="003132CA">
      <w:pPr>
        <w:pStyle w:val="Listenabsatz"/>
        <w:numPr>
          <w:ilvl w:val="0"/>
          <w:numId w:val="37"/>
        </w:numPr>
        <w:spacing w:after="60"/>
        <w:ind w:left="284" w:hanging="284"/>
        <w:rPr>
          <w:b/>
        </w:rPr>
      </w:pPr>
      <w:r>
        <w:rPr>
          <w:b/>
        </w:rPr>
        <w:t>Zona S2</w:t>
      </w:r>
    </w:p>
    <w:p w14:paraId="20F81069" w14:textId="045779D4" w:rsidR="003132CA" w:rsidRPr="00782E7A" w:rsidRDefault="003264A0" w:rsidP="003132CA">
      <w:pPr>
        <w:spacing w:after="120"/>
        <w:ind w:left="284"/>
        <w:jc w:val="both"/>
      </w:pPr>
      <w:r>
        <w:rPr>
          <w:vertAlign w:val="superscript"/>
        </w:rPr>
        <w:t>1</w:t>
      </w:r>
      <w:r>
        <w:t> Le misure edilizie sugli edifici e sugli impianti esistenti nonché le modifiche dell'utilizzazione attuale non devono comportare un aumento della minaccia per lo sfruttamento dell'acqua potabile.</w:t>
      </w:r>
    </w:p>
    <w:p w14:paraId="19CE6B38" w14:textId="3169ABFE" w:rsidR="00F30F87" w:rsidRPr="00782E7A" w:rsidRDefault="003264A0" w:rsidP="003264A0">
      <w:pPr>
        <w:shd w:val="clear" w:color="auto" w:fill="FFFFFF" w:themeFill="background1"/>
        <w:spacing w:after="120"/>
        <w:ind w:left="284"/>
        <w:jc w:val="both"/>
      </w:pPr>
      <w:r>
        <w:rPr>
          <w:vertAlign w:val="superscript"/>
        </w:rPr>
        <w:lastRenderedPageBreak/>
        <w:t>2</w:t>
      </w:r>
      <w:r>
        <w:t> In linea di principio vige un divieto di costruzione e di scavo per nuovi edifici e impianti. Sono inammissibili segnatamente misure edilizie e scavi che modificano in modo pregiudizievole la copertura protettiva (suolo e strato di copertura).</w:t>
      </w:r>
    </w:p>
    <w:p w14:paraId="679A5798" w14:textId="58C22CCF" w:rsidR="003132CA" w:rsidRPr="00782E7A" w:rsidRDefault="00F30F87" w:rsidP="003132CA">
      <w:pPr>
        <w:spacing w:after="60"/>
        <w:ind w:left="284"/>
        <w:jc w:val="both"/>
      </w:pPr>
      <w:r>
        <w:rPr>
          <w:vertAlign w:val="superscript"/>
        </w:rPr>
        <w:t>3</w:t>
      </w:r>
      <w:r>
        <w:t> Conformemente al diritto di rango superiore, il servizio specializzato cantonale preposto alla protezione delle acque può rilasciare un'autorizzazione di deroga per motivi gravi se:</w:t>
      </w:r>
    </w:p>
    <w:p w14:paraId="271F5F0D" w14:textId="27152372" w:rsidR="003132CA" w:rsidRPr="00782E7A" w:rsidRDefault="00F30F87" w:rsidP="003132CA">
      <w:pPr>
        <w:pStyle w:val="Listenabsatz"/>
        <w:numPr>
          <w:ilvl w:val="0"/>
          <w:numId w:val="38"/>
        </w:numPr>
        <w:spacing w:after="60"/>
        <w:contextualSpacing w:val="0"/>
        <w:jc w:val="both"/>
      </w:pPr>
      <w:r>
        <w:t>può essere esclusa una minaccia per lo sfruttamento dell'acqua potabile;</w:t>
      </w:r>
    </w:p>
    <w:p w14:paraId="798E40B9" w14:textId="77777777" w:rsidR="003132CA" w:rsidRPr="00782E7A" w:rsidRDefault="003132CA" w:rsidP="003132CA">
      <w:pPr>
        <w:pStyle w:val="Listenabsatz"/>
        <w:numPr>
          <w:ilvl w:val="0"/>
          <w:numId w:val="38"/>
        </w:numPr>
        <w:spacing w:after="60"/>
        <w:contextualSpacing w:val="0"/>
        <w:jc w:val="both"/>
      </w:pPr>
      <w:r>
        <w:t>l'impianto è a ubicazione vincolata e se</w:t>
      </w:r>
    </w:p>
    <w:p w14:paraId="6155F297" w14:textId="77777777" w:rsidR="003132CA" w:rsidRPr="00782E7A" w:rsidRDefault="003132CA" w:rsidP="003132CA">
      <w:pPr>
        <w:pStyle w:val="Listenabsatz"/>
        <w:numPr>
          <w:ilvl w:val="0"/>
          <w:numId w:val="38"/>
        </w:numPr>
        <w:contextualSpacing w:val="0"/>
        <w:jc w:val="both"/>
      </w:pPr>
      <w:r>
        <w:t>l'impianto presenta un interesse pubblico di importanza almeno pari a quella della captazione di acqua potabile.</w:t>
      </w:r>
    </w:p>
    <w:p w14:paraId="39486E96" w14:textId="77777777" w:rsidR="003132CA" w:rsidRPr="00782E7A" w:rsidRDefault="003132CA" w:rsidP="00B8431D">
      <w:pPr>
        <w:pStyle w:val="Listenabsatz"/>
        <w:keepNext/>
        <w:numPr>
          <w:ilvl w:val="0"/>
          <w:numId w:val="37"/>
        </w:numPr>
        <w:spacing w:after="60"/>
        <w:ind w:left="284" w:hanging="284"/>
        <w:rPr>
          <w:b/>
        </w:rPr>
      </w:pPr>
      <w:r>
        <w:rPr>
          <w:b/>
        </w:rPr>
        <w:t>Zona S3</w:t>
      </w:r>
    </w:p>
    <w:p w14:paraId="17C7B87F" w14:textId="77777777" w:rsidR="009B0770" w:rsidRPr="00782E7A" w:rsidRDefault="00F30F87" w:rsidP="00F30F87">
      <w:pPr>
        <w:ind w:left="284"/>
        <w:jc w:val="both"/>
      </w:pPr>
      <w:r>
        <w:rPr>
          <w:vertAlign w:val="superscript"/>
        </w:rPr>
        <w:t>1</w:t>
      </w:r>
      <w:r>
        <w:t xml:space="preserve"> La costruzione e la modifica di edifici e impianti sono ammesse nei limiti delle basi legali (in particolare allegato 4 n. 221 OPAc) nonché secondo le tabelle di riferimento delle «Istruzioni pratiche per la protezione delle acque sotterranee» della Confederazione. </w:t>
      </w:r>
    </w:p>
    <w:p w14:paraId="391FA033" w14:textId="77777777" w:rsidR="003132CA" w:rsidRPr="00782E7A" w:rsidRDefault="003132CA" w:rsidP="003132CA">
      <w:pPr>
        <w:ind w:left="284"/>
        <w:jc w:val="both"/>
      </w:pPr>
      <w:r>
        <w:rPr>
          <w:vertAlign w:val="superscript"/>
        </w:rPr>
        <w:t>2</w:t>
      </w:r>
      <w:r>
        <w:t xml:space="preserve"> Edifici e impianti vanno costruiti al di sopra del livello massimo delle acque sotterranee, per le sorgenti al di sopra degli strati acquiferi. </w:t>
      </w:r>
    </w:p>
    <w:p w14:paraId="4F27A99E" w14:textId="51E8DB9D" w:rsidR="00F90B8F" w:rsidRPr="00782E7A" w:rsidRDefault="00F90B8F" w:rsidP="00256C79">
      <w:pPr>
        <w:pBdr>
          <w:top w:val="single" w:sz="4" w:space="1" w:color="auto"/>
          <w:left w:val="single" w:sz="4" w:space="4" w:color="auto"/>
          <w:bottom w:val="single" w:sz="4" w:space="1" w:color="auto"/>
          <w:right w:val="single" w:sz="4" w:space="4" w:color="auto"/>
        </w:pBdr>
        <w:shd w:val="clear" w:color="auto" w:fill="FDE9D9" w:themeFill="accent6" w:themeFillTint="33"/>
        <w:spacing w:after="60"/>
        <w:jc w:val="both"/>
        <w:rPr>
          <w:sz w:val="20"/>
          <w:szCs w:val="20"/>
        </w:rPr>
      </w:pPr>
      <w:r>
        <w:rPr>
          <w:sz w:val="20"/>
        </w:rPr>
        <w:t>Le utilizzazioni agricole si conformano agli art. 14 e 15.</w:t>
      </w:r>
    </w:p>
    <w:p w14:paraId="115AAE63" w14:textId="684CE635" w:rsidR="008F086A" w:rsidRPr="00782E7A" w:rsidRDefault="008F086A" w:rsidP="0044481E">
      <w:pPr>
        <w:pStyle w:val="Artikel"/>
      </w:pPr>
      <w:r>
        <w:t xml:space="preserve">Art. </w:t>
      </w:r>
      <w:r>
        <w:fldChar w:fldCharType="begin"/>
      </w:r>
      <w:r>
        <w:instrText xml:space="preserve"> AUTONUMLGL  \e </w:instrText>
      </w:r>
      <w:r>
        <w:fldChar w:fldCharType="separate"/>
      </w:r>
      <w:r>
        <w:fldChar w:fldCharType="end"/>
      </w:r>
      <w:r>
        <w:tab/>
        <w:t>Edifici, impianti e utilizzazioni esistenti</w:t>
      </w:r>
    </w:p>
    <w:p w14:paraId="7A3A603E" w14:textId="46911DAD" w:rsidR="00845372" w:rsidRPr="00782E7A" w:rsidRDefault="00F30F87" w:rsidP="00BC159C">
      <w:pPr>
        <w:jc w:val="both"/>
      </w:pPr>
      <w:r>
        <w:rPr>
          <w:vertAlign w:val="superscript"/>
        </w:rPr>
        <w:t>1</w:t>
      </w:r>
      <w:r>
        <w:t> Tutti gli edifici, gli impianti e tutte le utilizzazioni esistenti nelle zone di protezione delle acque sotterranee al momento della delimitazione di tali zone sono elencati nel catasto dei pericoli (allegato 1).</w:t>
      </w:r>
    </w:p>
    <w:p w14:paraId="463F97E3" w14:textId="1C209C7C" w:rsidR="00845372" w:rsidRPr="00782E7A" w:rsidRDefault="00F30F87" w:rsidP="00845372">
      <w:pPr>
        <w:spacing w:after="120"/>
        <w:jc w:val="both"/>
        <w:rPr>
          <w:shd w:val="clear" w:color="auto" w:fill="FFFFFF" w:themeFill="background1"/>
        </w:rPr>
      </w:pPr>
      <w:r>
        <w:rPr>
          <w:vertAlign w:val="superscript"/>
        </w:rPr>
        <w:t>2</w:t>
      </w:r>
      <w:r>
        <w:t> Il catasto dei pericoli (allegato 1) si basa sul piano dei conflitti secondo il rapporto idrogeologico e stabilisce:</w:t>
      </w:r>
      <w:r>
        <w:rPr>
          <w:shd w:val="clear" w:color="auto" w:fill="FFFFFF" w:themeFill="background1"/>
        </w:rPr>
        <w:t xml:space="preserve"> quali edifici, impianti e utilizzazioni esistenti</w:t>
      </w:r>
    </w:p>
    <w:p w14:paraId="0B6C56E1" w14:textId="2B7DA6A6" w:rsidR="00845372" w:rsidRPr="00782E7A" w:rsidRDefault="00B143DB" w:rsidP="00B301AA">
      <w:pPr>
        <w:pStyle w:val="Listenabsatz"/>
        <w:numPr>
          <w:ilvl w:val="0"/>
          <w:numId w:val="42"/>
        </w:numPr>
        <w:ind w:left="284" w:hanging="278"/>
        <w:contextualSpacing w:val="0"/>
        <w:jc w:val="both"/>
      </w:pPr>
      <w:r>
        <w:t>possono continuare a essere mantenuti e gestiti (stato di proprietà) se vengono rispettate o attuate le misure di protezione a favore delle acque sotterranee utilizzate specifiche per l'utilizzazione e per l'oggetto menzionate nel catasto dei pericoli e necessarie per garantire il mantenimento conforme alla legge;</w:t>
      </w:r>
    </w:p>
    <w:p w14:paraId="71009147" w14:textId="43743E52" w:rsidR="007F66DF" w:rsidRPr="00782E7A" w:rsidRDefault="001A3C54" w:rsidP="00B301AA">
      <w:pPr>
        <w:pStyle w:val="Listenabsatz"/>
        <w:numPr>
          <w:ilvl w:val="0"/>
          <w:numId w:val="42"/>
        </w:numPr>
        <w:ind w:left="284" w:hanging="278"/>
        <w:contextualSpacing w:val="0"/>
        <w:jc w:val="both"/>
      </w:pPr>
      <w:r>
        <w:t xml:space="preserve">devono essere rimossi o abbandonati poiché, a seguito del potenziale di rischio e delle disposizioni relative alle zone di protezione, la protezione richiesta dalla legge </w:t>
      </w:r>
      <w:r>
        <w:rPr>
          <w:highlight w:val="yellow"/>
        </w:rPr>
        <w:t>della/e captazione/i di sorgente / acque sotterranee</w:t>
      </w:r>
      <w:r>
        <w:t xml:space="preserve"> non può essere raggiunta nemmeno con misure di protezione edilizie o di esercizio e il loro mantenimento o proseguimento non è perciò ammesso (art. 31 cpv. 2 OPAc).</w:t>
      </w:r>
    </w:p>
    <w:p w14:paraId="4E641C9A" w14:textId="71106A72" w:rsidR="00764058" w:rsidRPr="00782E7A" w:rsidRDefault="005A7112" w:rsidP="005A7112">
      <w:pPr>
        <w:shd w:val="clear" w:color="auto" w:fill="FFFFFF" w:themeFill="background1"/>
      </w:pPr>
      <w:r>
        <w:rPr>
          <w:vertAlign w:val="superscript"/>
        </w:rPr>
        <w:t>3</w:t>
      </w:r>
      <w:r>
        <w:t> Il catasto dei pericoli stabilisce inoltre chi deve attuare le misure di cui al capoverso 2 lettere a e b e le relative scadenze.</w:t>
      </w:r>
    </w:p>
    <w:p w14:paraId="1BCC819E" w14:textId="5313A273" w:rsidR="007F66DF" w:rsidRPr="00782E7A" w:rsidRDefault="007F66DF" w:rsidP="005307BE">
      <w:pPr>
        <w:shd w:val="clear" w:color="auto" w:fill="FFFFFF" w:themeFill="background1"/>
      </w:pPr>
      <w:r>
        <w:rPr>
          <w:rStyle w:val="Hochgestellt"/>
        </w:rPr>
        <w:t>4</w:t>
      </w:r>
      <w:r>
        <w:t xml:space="preserve"> L'attuazione delle misure conformemente al catasto dei pericoli va comunicata al Comune. Il municipio tiene un elenco delle misure ancora da attuare e lo aggiorna annualmente. </w:t>
      </w:r>
    </w:p>
    <w:p w14:paraId="126B0A48" w14:textId="07835C9E" w:rsidR="002B2E88" w:rsidRPr="00782E7A" w:rsidRDefault="0067752F" w:rsidP="00257167">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Qualora nella zona di protezione delle acque non si trovino edifici e impianti, è possibile rinunciare a questa disposizione.</w:t>
      </w:r>
    </w:p>
    <w:p w14:paraId="773F5BDC" w14:textId="7BD0C6E9" w:rsidR="00257167" w:rsidRPr="00782E7A" w:rsidRDefault="00257167" w:rsidP="00257167">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Il rapporto «Presupposti e approcci di soluzione per la gestione di restrizioni del diritto di proprietà» dell'UNA contiene un elenco di misure.</w:t>
      </w:r>
    </w:p>
    <w:p w14:paraId="227BEAFC" w14:textId="4D4A8FBE" w:rsidR="002B2E88" w:rsidRPr="00782E7A" w:rsidRDefault="002B2E88" w:rsidP="0044481E">
      <w:pPr>
        <w:pStyle w:val="Artikel"/>
      </w:pPr>
      <w:r>
        <w:lastRenderedPageBreak/>
        <w:t xml:space="preserve">Art. </w:t>
      </w:r>
      <w:r>
        <w:fldChar w:fldCharType="begin"/>
      </w:r>
      <w:r>
        <w:instrText xml:space="preserve"> AUTONUMLGL  \e </w:instrText>
      </w:r>
      <w:r>
        <w:fldChar w:fldCharType="separate"/>
      </w:r>
      <w:r>
        <w:fldChar w:fldCharType="end"/>
      </w:r>
      <w:r>
        <w:tab/>
        <w:t>Nuovi edifici, impianti e utilizzazioni</w:t>
      </w:r>
    </w:p>
    <w:p w14:paraId="6D1FFDE4" w14:textId="3A4E9870" w:rsidR="00257167" w:rsidRPr="00782E7A" w:rsidRDefault="00257167" w:rsidP="002B2E88">
      <w:pPr>
        <w:jc w:val="both"/>
        <w:rPr>
          <w:kern w:val="22"/>
        </w:rPr>
      </w:pPr>
      <w:r>
        <w:rPr>
          <w:vertAlign w:val="superscript"/>
        </w:rPr>
        <w:t>1</w:t>
      </w:r>
      <w:r>
        <w:t> Se il catasto dei pericoli (allegato 1) non contiene disposizioni diverse, gli edifici, gli impianti e le utilizzazioni ammessi nonché eventuali condizioni si conformano di principio alle tabelle di riferimento vigenti nelle «Istruzioni pratiche per la protezione delle acque sotterranee» della Confederazione.</w:t>
      </w:r>
      <w:r w:rsidR="00340368" w:rsidRPr="00782E7A">
        <w:rPr>
          <w:rStyle w:val="Funotenzeichen"/>
          <w:kern w:val="22"/>
        </w:rPr>
        <w:footnoteReference w:id="3"/>
      </w:r>
    </w:p>
    <w:p w14:paraId="165FD5A4" w14:textId="73DE8E51" w:rsidR="002B2E88" w:rsidRPr="00782E7A" w:rsidRDefault="00257167" w:rsidP="00782E7A">
      <w:pPr>
        <w:spacing w:after="0"/>
        <w:jc w:val="both"/>
      </w:pPr>
      <w:r>
        <w:rPr>
          <w:vertAlign w:val="superscript"/>
        </w:rPr>
        <w:t>2</w:t>
      </w:r>
      <w:r>
        <w:t> Le condizioni da rispettare sono indicate nelle necessarie autorizzazioni edilizie e di protezione delle acque.</w:t>
      </w:r>
    </w:p>
    <w:p w14:paraId="63BBD3D2" w14:textId="40112E7B" w:rsidR="0039599A" w:rsidRPr="00782E7A" w:rsidRDefault="005B2571" w:rsidP="0044481E">
      <w:pPr>
        <w:pStyle w:val="Artikel"/>
      </w:pPr>
      <w:r>
        <w:t xml:space="preserve">Art. </w:t>
      </w:r>
      <w:r w:rsidR="0039599A">
        <w:fldChar w:fldCharType="begin"/>
      </w:r>
      <w:r w:rsidR="0039599A">
        <w:instrText xml:space="preserve"> AUTONUMLGL  \e </w:instrText>
      </w:r>
      <w:r w:rsidR="0039599A">
        <w:fldChar w:fldCharType="separate"/>
      </w:r>
      <w:r w:rsidR="0039599A">
        <w:fldChar w:fldCharType="end"/>
      </w:r>
      <w:r>
        <w:tab/>
        <w:t>Sfruttamento del suolo e concimazione nonché impiego di prodotti fitosanitari e di prodotti per la protezione del legno, a) Principio</w:t>
      </w:r>
    </w:p>
    <w:p w14:paraId="76AEC7FE" w14:textId="1BF6C53D" w:rsidR="003D0ACF" w:rsidRPr="00782E7A" w:rsidRDefault="003D0ACF" w:rsidP="003D0ACF">
      <w:pPr>
        <w:jc w:val="both"/>
      </w:pPr>
      <w:r>
        <w:t>Secondo il diritto di rango superiore valgono le seguenti restrizioni d'utilizzazione:</w:t>
      </w:r>
    </w:p>
    <w:p w14:paraId="175BA371" w14:textId="77777777" w:rsidR="0039599A" w:rsidRPr="00782E7A" w:rsidRDefault="0039599A" w:rsidP="0039599A">
      <w:pPr>
        <w:pStyle w:val="Listenabsatz"/>
        <w:numPr>
          <w:ilvl w:val="0"/>
          <w:numId w:val="39"/>
        </w:numPr>
        <w:spacing w:after="60"/>
        <w:ind w:left="284" w:hanging="284"/>
        <w:rPr>
          <w:b/>
          <w:kern w:val="22"/>
        </w:rPr>
      </w:pPr>
      <w:r>
        <w:rPr>
          <w:b/>
        </w:rPr>
        <w:t>Zona S1</w:t>
      </w:r>
    </w:p>
    <w:p w14:paraId="3199D256" w14:textId="77777777" w:rsidR="0039599A" w:rsidRPr="00782E7A" w:rsidRDefault="0039599A" w:rsidP="00256C79">
      <w:pPr>
        <w:shd w:val="clear" w:color="auto" w:fill="FFFFFF" w:themeFill="background1"/>
        <w:jc w:val="both"/>
        <w:rPr>
          <w:kern w:val="22"/>
        </w:rPr>
      </w:pPr>
      <w:r>
        <w:t>È possibile solo un'utilizzazione come prato non concimato con sfalcio o come bosco. Il pascolo non è ammesso.</w:t>
      </w:r>
    </w:p>
    <w:p w14:paraId="7526EE21" w14:textId="77777777" w:rsidR="0039599A" w:rsidRPr="00782E7A" w:rsidRDefault="0039599A" w:rsidP="0039599A">
      <w:pPr>
        <w:pStyle w:val="Listenabsatz"/>
        <w:numPr>
          <w:ilvl w:val="0"/>
          <w:numId w:val="39"/>
        </w:numPr>
        <w:spacing w:after="60"/>
        <w:ind w:left="284" w:hanging="284"/>
        <w:rPr>
          <w:b/>
          <w:kern w:val="22"/>
        </w:rPr>
      </w:pPr>
      <w:r>
        <w:rPr>
          <w:b/>
        </w:rPr>
        <w:t>Zona S2</w:t>
      </w:r>
    </w:p>
    <w:p w14:paraId="718A4D5D" w14:textId="77777777" w:rsidR="0039599A" w:rsidRPr="00782E7A" w:rsidRDefault="0039599A" w:rsidP="00256C79">
      <w:pPr>
        <w:shd w:val="clear" w:color="auto" w:fill="FFFFFF" w:themeFill="background1"/>
        <w:spacing w:after="120"/>
        <w:jc w:val="both"/>
        <w:rPr>
          <w:kern w:val="22"/>
        </w:rPr>
      </w:pPr>
      <w:r>
        <w:rPr>
          <w:vertAlign w:val="superscript"/>
        </w:rPr>
        <w:t>1</w:t>
      </w:r>
      <w:r>
        <w:t> L'impiego di concimi liquidi o di concimi ottenuti dal riciclaggio non è ammesso.</w:t>
      </w:r>
    </w:p>
    <w:p w14:paraId="61C6DFD8" w14:textId="2C2777CD" w:rsidR="0039599A" w:rsidRPr="00782E7A" w:rsidRDefault="0039599A" w:rsidP="00256C79">
      <w:pPr>
        <w:shd w:val="clear" w:color="auto" w:fill="FFFFFF" w:themeFill="background1"/>
        <w:spacing w:after="120"/>
        <w:jc w:val="both"/>
        <w:rPr>
          <w:kern w:val="22"/>
        </w:rPr>
      </w:pPr>
      <w:r>
        <w:rPr>
          <w:vertAlign w:val="superscript"/>
        </w:rPr>
        <w:t>2</w:t>
      </w:r>
      <w:r>
        <w:t> I prodotti fitosanitari vietati in base all'elenco aggiornato «Divieto d'impiego di prodotti fitosanitari nelle zone di protezione delle acque sotterranee S2 e Sh» dell'Ufficio federale della sicurezza alimentare e di veterinaria (USAV) non sono ammessi.</w:t>
      </w:r>
    </w:p>
    <w:p w14:paraId="25865370" w14:textId="77777777" w:rsidR="0039599A" w:rsidRPr="00782E7A" w:rsidRDefault="0039599A" w:rsidP="0039599A">
      <w:pPr>
        <w:pStyle w:val="Listenabsatz"/>
        <w:numPr>
          <w:ilvl w:val="0"/>
          <w:numId w:val="39"/>
        </w:numPr>
        <w:spacing w:after="60"/>
        <w:ind w:left="284" w:hanging="284"/>
        <w:rPr>
          <w:b/>
          <w:kern w:val="22"/>
        </w:rPr>
      </w:pPr>
      <w:r>
        <w:rPr>
          <w:b/>
        </w:rPr>
        <w:t>Zona S2 e S3</w:t>
      </w:r>
    </w:p>
    <w:p w14:paraId="2D3BADBB" w14:textId="627FB340" w:rsidR="0039599A" w:rsidRPr="00782E7A" w:rsidRDefault="0039599A" w:rsidP="00256C79">
      <w:pPr>
        <w:shd w:val="clear" w:color="auto" w:fill="FFFFFF" w:themeFill="background1"/>
        <w:spacing w:after="120"/>
        <w:jc w:val="both"/>
        <w:rPr>
          <w:kern w:val="22"/>
        </w:rPr>
      </w:pPr>
      <w:r>
        <w:rPr>
          <w:vertAlign w:val="superscript"/>
        </w:rPr>
        <w:t>1</w:t>
      </w:r>
      <w:r>
        <w:t> Nelle «Istruzioni pratiche per la protezione delle acque sotterranee» dell'UFAFP (oggi: UFAM) sono elencate le utilizzazioni agricole, inclusa la concimazione, ammesse. Queste disposizioni devono essere rispettate. Le concimazioni e gli sfruttamenti del suolo non ammessi sono elencati nel catasto dei pericoli (allegato 1) per ciascuna particella.</w:t>
      </w:r>
    </w:p>
    <w:p w14:paraId="6584A1B1" w14:textId="77777777" w:rsidR="0039599A" w:rsidRPr="00782E7A" w:rsidRDefault="0039599A" w:rsidP="00256C79">
      <w:pPr>
        <w:shd w:val="clear" w:color="auto" w:fill="FFFFFF" w:themeFill="background1"/>
        <w:spacing w:after="120"/>
        <w:jc w:val="both"/>
        <w:rPr>
          <w:kern w:val="22"/>
        </w:rPr>
      </w:pPr>
      <w:r>
        <w:rPr>
          <w:vertAlign w:val="superscript"/>
        </w:rPr>
        <w:t>2</w:t>
      </w:r>
      <w:r>
        <w:t> Per le particelle concimate, con il coinvolgimento del Servizio di consulenza agricola dei Grigioni si deve allestire un piano di concimazione adeguato al sito conformemente alle basi attuali per la concimazione in campicoltura e foraggicoltura («Principi di concimazione delle colture agricole in Svizzera» [PRIC, 2017], Stazione di ricerca Agroscope) e si deve concimare di conseguenza. Una copia del piano di concimazione va spontaneamente consegnata al municipio.</w:t>
      </w:r>
    </w:p>
    <w:p w14:paraId="1F01797D" w14:textId="4971B888" w:rsidR="0039599A" w:rsidRPr="00782E7A" w:rsidRDefault="009F1A53" w:rsidP="0044481E">
      <w:pPr>
        <w:pStyle w:val="Artikel"/>
        <w:rPr>
          <w:rStyle w:val="Fett"/>
          <w:b/>
        </w:rPr>
      </w:pPr>
      <w:r>
        <w:rPr>
          <w:rStyle w:val="Fett"/>
          <w:b/>
        </w:rPr>
        <w:t xml:space="preserve">Art. </w:t>
      </w:r>
      <w:r w:rsidR="0039599A">
        <w:fldChar w:fldCharType="begin"/>
      </w:r>
      <w:r w:rsidR="0039599A">
        <w:instrText xml:space="preserve"> AUTONUMLGL  \e </w:instrText>
      </w:r>
      <w:r w:rsidR="0039599A">
        <w:fldChar w:fldCharType="separate"/>
      </w:r>
      <w:r w:rsidR="0039599A">
        <w:fldChar w:fldCharType="end"/>
      </w:r>
      <w:r>
        <w:tab/>
        <w:t>Sfruttamento del suolo e concimazione nonché impiego di prodotti fitosanitari e di prodotti per la protezione del legno, b) Sfruttamento del suolo e concimazione</w:t>
      </w:r>
    </w:p>
    <w:p w14:paraId="580066A3" w14:textId="1D52A4DA" w:rsidR="00B155B4" w:rsidRPr="00782E7A" w:rsidRDefault="00B155B4" w:rsidP="0067752F">
      <w:pPr>
        <w:jc w:val="both"/>
        <w:rPr>
          <w:kern w:val="22"/>
        </w:rPr>
      </w:pPr>
      <w:r>
        <w:rPr>
          <w:vertAlign w:val="superscript"/>
        </w:rPr>
        <w:t>1</w:t>
      </w:r>
      <w:r>
        <w:t> Lo sfruttamento del suolo e la concimazione sono ammessi nel rispetto del diritto federale nonché delle direttive e degli aiuti all'esecuzione complementari, tenendo conto delle caratteristiche del suolo, della topografia e delle condizioni meteorologiche.</w:t>
      </w:r>
    </w:p>
    <w:p w14:paraId="226E5E46" w14:textId="27DB80C1" w:rsidR="00B155B4" w:rsidRPr="00782E7A" w:rsidRDefault="00B155B4" w:rsidP="0067752F">
      <w:pPr>
        <w:jc w:val="both"/>
        <w:rPr>
          <w:kern w:val="22"/>
        </w:rPr>
      </w:pPr>
      <w:r>
        <w:rPr>
          <w:vertAlign w:val="superscript"/>
        </w:rPr>
        <w:lastRenderedPageBreak/>
        <w:t>2</w:t>
      </w:r>
      <w:r>
        <w:t> L'impiego di concimi è disciplinato dall'ordinanza sulla riduzione dei rischi inerenti ai prodotti chimici nonché dall'aiuto all'esecuzione «Elementi nutritivi e utilizzo dei concimi nell'agricoltura».</w:t>
      </w:r>
    </w:p>
    <w:p w14:paraId="7F235BD9" w14:textId="7DCD8DB5" w:rsidR="00B155B4" w:rsidRPr="00782E7A" w:rsidRDefault="00091631" w:rsidP="0067752F">
      <w:pPr>
        <w:jc w:val="both"/>
        <w:rPr>
          <w:kern w:val="22"/>
        </w:rPr>
      </w:pPr>
      <w:r>
        <w:rPr>
          <w:vertAlign w:val="superscript"/>
        </w:rPr>
        <w:t>3</w:t>
      </w:r>
      <w:r>
        <w:t> Se il loro impiego è ammesso, i concimi liquidi possono essere sparsi soltanto se il suolo è in grado di riceverli e di assorbirli e se può essere escluso un deflusso superficiale verso la captazione di sorgente o di acque sotterranee.</w:t>
      </w:r>
    </w:p>
    <w:p w14:paraId="0A878B6C" w14:textId="28CE9D3D" w:rsidR="00B155B4" w:rsidRPr="00782E7A" w:rsidRDefault="00091631" w:rsidP="0067752F">
      <w:pPr>
        <w:jc w:val="both"/>
        <w:rPr>
          <w:kern w:val="22"/>
        </w:rPr>
      </w:pPr>
      <w:r>
        <w:rPr>
          <w:vertAlign w:val="superscript"/>
        </w:rPr>
        <w:t>4</w:t>
      </w:r>
      <w:r>
        <w:t> Durante il riposo vegetativo, in linea di principio non può essere sparso colaticcio.</w:t>
      </w:r>
    </w:p>
    <w:p w14:paraId="0CFC5DD1" w14:textId="305CFA54" w:rsidR="00B155B4" w:rsidRPr="00782E7A" w:rsidRDefault="00091631" w:rsidP="0067752F">
      <w:pPr>
        <w:jc w:val="both"/>
        <w:rPr>
          <w:kern w:val="22"/>
        </w:rPr>
      </w:pPr>
      <w:r>
        <w:rPr>
          <w:vertAlign w:val="superscript"/>
        </w:rPr>
        <w:t>5</w:t>
      </w:r>
      <w:r>
        <w:t> La concimazione è vietata nelle aree in cui il livello delle acque sotterranee è elevato o temporaneamente affiora acqua in superficie (ristagni, zone paludose).</w:t>
      </w:r>
    </w:p>
    <w:p w14:paraId="76E456A4" w14:textId="4FAEC915" w:rsidR="0067752F" w:rsidRPr="00782E7A" w:rsidRDefault="0067752F" w:rsidP="003D0ACF">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Se non vi sono aree in cui il livello delle acque sotterranee è elevato o in cui l'acqua affiora in superficie, il cpv. 5 può essere stralciato.</w:t>
      </w:r>
    </w:p>
    <w:p w14:paraId="04C203BD" w14:textId="53A74E9D" w:rsidR="00B5359B" w:rsidRPr="00782E7A" w:rsidRDefault="00B5359B" w:rsidP="0044481E">
      <w:pPr>
        <w:pStyle w:val="Artikel"/>
      </w:pPr>
      <w:r>
        <w:t xml:space="preserve">Art. </w:t>
      </w:r>
      <w:r>
        <w:fldChar w:fldCharType="begin"/>
      </w:r>
      <w:r>
        <w:instrText xml:space="preserve"> AUTONUMLGL  \e </w:instrText>
      </w:r>
      <w:r>
        <w:fldChar w:fldCharType="separate"/>
      </w:r>
      <w:r>
        <w:fldChar w:fldCharType="end"/>
      </w:r>
      <w:r>
        <w:tab/>
        <w:t>Sfruttamento del suolo e concimazione nonché impiego di prodotti fitosanitari e di prodotti per la protezione del legno; c) Impiego di prodotti fitosanitari e di prodotti per la protezione del legno</w:t>
      </w:r>
    </w:p>
    <w:p w14:paraId="48A7DB84" w14:textId="5BB98E7B" w:rsidR="00373760" w:rsidRPr="00782E7A" w:rsidRDefault="0067752F" w:rsidP="0067752F">
      <w:pPr>
        <w:jc w:val="both"/>
        <w:rPr>
          <w:kern w:val="22"/>
        </w:rPr>
      </w:pPr>
      <w:r>
        <w:rPr>
          <w:vertAlign w:val="superscript"/>
        </w:rPr>
        <w:t>1</w:t>
      </w:r>
      <w:r>
        <w:t> L'impiego di prodotti fitosanitari è disciplinato dall'ordinanza sulla riduzione dei rischi inerenti ai prodotti chimici, dall'art. 25 dell'ordinanza sulle foreste (OFo; RS 921.01), dall'ordinanza sui prodotti fitosanitari (OPF; RS 916.161) nonché dall'aiuto all'esecuzione «Prodotti fitosanitari nell'agricoltura» (UFAM, 2013).</w:t>
      </w:r>
    </w:p>
    <w:p w14:paraId="6A9D2075" w14:textId="3E233641" w:rsidR="00373760" w:rsidRPr="00782E7A" w:rsidRDefault="0067752F" w:rsidP="00373760">
      <w:pPr>
        <w:rPr>
          <w:kern w:val="22"/>
        </w:rPr>
      </w:pPr>
      <w:r>
        <w:rPr>
          <w:vertAlign w:val="superscript"/>
        </w:rPr>
        <w:t>2</w:t>
      </w:r>
      <w:r>
        <w:t xml:space="preserve"> Per l'impiego di prodotti per la protezione del legno e per il deposito del legno trattato con tali prodotti sono determinanti le disposizioni di cui all'ordinanza sulla riduzione dei rischi inerenti ai prodotti chimici. </w:t>
      </w:r>
    </w:p>
    <w:p w14:paraId="012DECDE" w14:textId="2471D9D5" w:rsidR="00894C3B" w:rsidRPr="00782E7A" w:rsidRDefault="00B8431D" w:rsidP="00894C3B">
      <w:pPr>
        <w:pStyle w:val="berschrift1"/>
      </w:pPr>
      <w:r>
        <w:t>Costi, indennizzi e contributi del Comune</w:t>
      </w:r>
    </w:p>
    <w:p w14:paraId="39A8E655" w14:textId="5D919E25" w:rsidR="003147BD" w:rsidRPr="00782E7A" w:rsidRDefault="003147BD" w:rsidP="0044481E">
      <w:pPr>
        <w:pStyle w:val="Artikel"/>
      </w:pPr>
      <w:r>
        <w:t xml:space="preserve">Art. </w:t>
      </w:r>
      <w:r>
        <w:fldChar w:fldCharType="begin"/>
      </w:r>
      <w:r>
        <w:instrText xml:space="preserve"> AUTONUMLGL  \e </w:instrText>
      </w:r>
      <w:r>
        <w:fldChar w:fldCharType="separate"/>
      </w:r>
      <w:r>
        <w:fldChar w:fldCharType="end"/>
      </w:r>
      <w:r>
        <w:tab/>
        <w:t>Costi</w:t>
      </w:r>
    </w:p>
    <w:p w14:paraId="5570CB5C" w14:textId="36DE780B" w:rsidR="00C55939" w:rsidRPr="00782E7A" w:rsidRDefault="00C55939" w:rsidP="003147BD">
      <w:pPr>
        <w:jc w:val="both"/>
        <w:rPr>
          <w:kern w:val="22"/>
        </w:rPr>
      </w:pPr>
      <w:r>
        <w:rPr>
          <w:vertAlign w:val="superscript"/>
        </w:rPr>
        <w:t>1</w:t>
      </w:r>
      <w:r>
        <w:t xml:space="preserve"> I costi presumibili delle singole misure di protezione sono elencati nell'allegato </w:t>
      </w:r>
      <w:r>
        <w:rPr>
          <w:highlight w:val="yellow"/>
        </w:rPr>
        <w:t>Stima dei costi e indennizzi</w:t>
      </w:r>
      <w:r>
        <w:t xml:space="preserve"> (allegato 2).</w:t>
      </w:r>
    </w:p>
    <w:p w14:paraId="7227978F" w14:textId="21A4E154" w:rsidR="00C55939" w:rsidRPr="00782E7A" w:rsidRDefault="00C55939" w:rsidP="003147BD">
      <w:pPr>
        <w:jc w:val="both"/>
        <w:rPr>
          <w:kern w:val="22"/>
        </w:rPr>
      </w:pPr>
      <w:r>
        <w:rPr>
          <w:vertAlign w:val="superscript"/>
        </w:rPr>
        <w:t>2</w:t>
      </w:r>
      <w:r>
        <w:t xml:space="preserve"> La stima dei costi si basa su valori indicativi e serve a fornire indicazioni in merito all'ordine di grandezza dei costi attesi. I costi effettivi possono divergere sensibilmente dalle stime.</w:t>
      </w:r>
    </w:p>
    <w:p w14:paraId="0AE6EAFB" w14:textId="508BB0E7" w:rsidR="00CD3D2B" w:rsidRPr="00782E7A" w:rsidRDefault="00CD3D2B" w:rsidP="003147BD">
      <w:pPr>
        <w:jc w:val="both"/>
        <w:rPr>
          <w:kern w:val="22"/>
        </w:rPr>
      </w:pPr>
      <w:r>
        <w:rPr>
          <w:vertAlign w:val="superscript"/>
        </w:rPr>
        <w:t>3</w:t>
      </w:r>
      <w:r>
        <w:t> Per legge, i costi per le misure di protezione necessarie sono in linea di principio a carico dei proprietari del fondo interessato, se il diritto di rango superiore o il diritto comunale non prevede una regolamentazione diversa.</w:t>
      </w:r>
    </w:p>
    <w:p w14:paraId="70B4A4AB" w14:textId="5A781A39" w:rsidR="00257167" w:rsidRPr="00782E7A" w:rsidRDefault="001A1E0E" w:rsidP="001A1E0E">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La stima dei costi presumibili è intesa a consentire una ponderazione completa degli interessi tra l'importanza di una captazione o di una sorgente per l'approvvigionamento di acqua potabile e i costi per le misure di protezione necessarie.</w:t>
      </w:r>
    </w:p>
    <w:p w14:paraId="423D512E" w14:textId="486C5EA2" w:rsidR="00532CE8" w:rsidRPr="00782E7A" w:rsidRDefault="00532CE8" w:rsidP="001A1E0E">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Il diritto di rango superiore prevede in linea di principio l'assunzione dei costi da parte dei proprietari dei fondi (cpv. 3). Secondo la giurisprudenza del Tribunale federale, i comuni possono emanare in una legge regole proprie relative all'assunzione dei costi laddove non si applicano le disposizioni concernenti l'espropriazione materiale. Diritti a indennizzi nonché la partecipazione ai costi da parte del Comune sono disciplinati negli art. 18 e 19 del regolamento modello.</w:t>
      </w:r>
    </w:p>
    <w:p w14:paraId="219A0FAD" w14:textId="5AABFEDB" w:rsidR="00CD3D2B" w:rsidRPr="00782E7A" w:rsidRDefault="001A1E0E" w:rsidP="001A1E0E">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lastRenderedPageBreak/>
        <w:t>Il titolo dell'allegato dipende dal fatto se il Comune partecipi o meno ai costi (indennizzo); cfr. a questo proposito la regolamentazione nell'art. 19 del regolamento modello. Se del caso, il titolo deve essere adeguato.</w:t>
      </w:r>
    </w:p>
    <w:p w14:paraId="614D202E" w14:textId="7BFAEAB6" w:rsidR="001A1E0E" w:rsidRPr="00782E7A" w:rsidRDefault="001A1E0E" w:rsidP="0044481E">
      <w:pPr>
        <w:pStyle w:val="Artikel"/>
      </w:pPr>
      <w:r>
        <w:t xml:space="preserve">Art. </w:t>
      </w:r>
      <w:r>
        <w:fldChar w:fldCharType="begin"/>
      </w:r>
      <w:r>
        <w:instrText xml:space="preserve"> AUTONUMLGL  \e </w:instrText>
      </w:r>
      <w:r>
        <w:fldChar w:fldCharType="separate"/>
      </w:r>
      <w:r>
        <w:fldChar w:fldCharType="end"/>
      </w:r>
      <w:r>
        <w:tab/>
        <w:t>Indennizzo per restrizioni d'utilizzazione</w:t>
      </w:r>
    </w:p>
    <w:p w14:paraId="364A575F" w14:textId="1233500E" w:rsidR="00532CE8" w:rsidRPr="00782E7A" w:rsidRDefault="00532CE8" w:rsidP="00532CE8">
      <w:pPr>
        <w:jc w:val="both"/>
      </w:pPr>
      <w:r>
        <w:rPr>
          <w:rStyle w:val="Hochgestellt"/>
        </w:rPr>
        <w:t>1</w:t>
      </w:r>
      <w:r>
        <w:t xml:space="preserve"> L'attribuzione di un fondo a una zona di protezione delle acque sotterranee e le restrizioni d'utilizzazione a ciò associate devono essere tollerate senza indennizzo. Conformemente al diritto di rango superiore, un diritto a indennizzo è dato soltanto se le restrizioni d'utilizzazione equivalgono a un'espropriazione materiale.</w:t>
      </w:r>
    </w:p>
    <w:p w14:paraId="06C417DC" w14:textId="2D4EC77F" w:rsidR="00532CE8" w:rsidRPr="00782E7A" w:rsidRDefault="001A1E0E" w:rsidP="00F01E46">
      <w:pPr>
        <w:jc w:val="both"/>
        <w:rPr>
          <w:shd w:val="clear" w:color="auto" w:fill="FFFFFF" w:themeFill="background1"/>
        </w:rPr>
      </w:pPr>
      <w:r>
        <w:rPr>
          <w:vertAlign w:val="superscript"/>
        </w:rPr>
        <w:t>2</w:t>
      </w:r>
      <w:r>
        <w:t xml:space="preserve"> Gli indennizzi per espropriazione materiale devono essere versati </w:t>
      </w:r>
      <w:r>
        <w:rPr>
          <w:highlight w:val="yellow"/>
        </w:rPr>
        <w:t>dal/dalla proprietario/a</w:t>
      </w:r>
      <w:r>
        <w:t xml:space="preserve"> della </w:t>
      </w:r>
      <w:r>
        <w:rPr>
          <w:highlight w:val="yellow"/>
        </w:rPr>
        <w:t>captazione di acque sotterranee o di sorgente</w:t>
      </w:r>
      <w:r>
        <w:t>.</w:t>
      </w:r>
      <w:r>
        <w:rPr>
          <w:shd w:val="clear" w:color="auto" w:fill="FFFFFF" w:themeFill="background1"/>
        </w:rPr>
        <w:t xml:space="preserve"> La procedura si conforma al diritto cantonale.</w:t>
      </w:r>
    </w:p>
    <w:p w14:paraId="2F2A9AE6" w14:textId="6AA00D73" w:rsidR="00000AE7" w:rsidRPr="00782E7A" w:rsidRDefault="00000AE7" w:rsidP="00F01E46">
      <w:pPr>
        <w:jc w:val="both"/>
        <w:rPr>
          <w:shd w:val="clear" w:color="auto" w:fill="FFFFFF" w:themeFill="background1"/>
        </w:rPr>
      </w:pPr>
      <w:r>
        <w:rPr>
          <w:shd w:val="clear" w:color="auto" w:fill="FFFFFF" w:themeFill="background1"/>
          <w:vertAlign w:val="superscript"/>
        </w:rPr>
        <w:t>3</w:t>
      </w:r>
      <w:r>
        <w:rPr>
          <w:shd w:val="clear" w:color="auto" w:fill="FFFFFF" w:themeFill="background1"/>
        </w:rPr>
        <w:t xml:space="preserve"> Nel quadro del diritto di rango superiore il Comune può prevedere in una legge formale un'assunzione dei costi o una partecipazione ai costi </w:t>
      </w:r>
      <w:r>
        <w:rPr>
          <w:highlight w:val="yellow"/>
          <w:shd w:val="clear" w:color="auto" w:fill="FFFFFF" w:themeFill="background1"/>
        </w:rPr>
        <w:t>del/della proprietario/a di una captazione di acque sotterra</w:t>
      </w:r>
      <w:r w:rsidRPr="00474A90">
        <w:rPr>
          <w:highlight w:val="yellow"/>
          <w:shd w:val="clear" w:color="auto" w:fill="FFFFFF" w:themeFill="background1"/>
        </w:rPr>
        <w:t xml:space="preserve">nee o </w:t>
      </w:r>
      <w:r>
        <w:rPr>
          <w:highlight w:val="yellow"/>
          <w:shd w:val="clear" w:color="auto" w:fill="FFFFFF" w:themeFill="background1"/>
        </w:rPr>
        <w:t>di sorgente</w:t>
      </w:r>
      <w:r>
        <w:rPr>
          <w:shd w:val="clear" w:color="auto" w:fill="FFFFFF" w:themeFill="background1"/>
        </w:rPr>
        <w:t>.</w:t>
      </w:r>
    </w:p>
    <w:p w14:paraId="02591F38" w14:textId="65F1ACD7" w:rsidR="00000AE7" w:rsidRPr="00782E7A" w:rsidRDefault="00000AE7" w:rsidP="00F01E46">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Secondo la prassi del Tribunale federale, anche laddove non si applicano le disposizioni concernenti l'espropriazione materiale l'organo legislativo comunale (vale a dire l'assemblea comunale o gli aventi diritto di voto nel quadro di una votazione alle urne [referendum facoltativo od obbligatorio]) può prevedere l'assunzione dei costi o una partecipazione ai costi da parte dei proprietari di una captazione di acque sotterranee o di sorgente.</w:t>
      </w:r>
    </w:p>
    <w:p w14:paraId="3C325A29" w14:textId="63E4BDF1" w:rsidR="00F01E46" w:rsidRPr="00782E7A" w:rsidRDefault="00680852" w:rsidP="00F01E46">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Un'eventuale partecipazione del Comune ai costi per le misure di protezione o per riduzioni delle entrate si conforma all'art. 19 del regolamento modello.</w:t>
      </w:r>
    </w:p>
    <w:p w14:paraId="6AF4A2FA" w14:textId="46180215" w:rsidR="00F01E46" w:rsidRPr="00782E7A" w:rsidRDefault="00F01E46" w:rsidP="0044481E">
      <w:pPr>
        <w:pStyle w:val="Artikel"/>
      </w:pPr>
      <w:r>
        <w:t xml:space="preserve">Art. </w:t>
      </w:r>
      <w:r>
        <w:fldChar w:fldCharType="begin"/>
      </w:r>
      <w:r>
        <w:instrText xml:space="preserve"> AUTONUMLGL  \e </w:instrText>
      </w:r>
      <w:r>
        <w:fldChar w:fldCharType="separate"/>
      </w:r>
      <w:r>
        <w:fldChar w:fldCharType="end"/>
      </w:r>
      <w:r>
        <w:tab/>
        <w:t>Partecipazione ai costi da parte del Comune</w:t>
      </w:r>
    </w:p>
    <w:p w14:paraId="014C3DBB" w14:textId="5C54B66D" w:rsidR="00680852" w:rsidRPr="00782E7A" w:rsidRDefault="00F01E46" w:rsidP="00F01E46">
      <w:pPr>
        <w:jc w:val="both"/>
        <w:rPr>
          <w:shd w:val="clear" w:color="auto" w:fill="FFFFFF" w:themeFill="background1"/>
        </w:rPr>
      </w:pPr>
      <w:r>
        <w:rPr>
          <w:shd w:val="clear" w:color="auto" w:fill="FFFFFF" w:themeFill="background1"/>
          <w:vertAlign w:val="superscript"/>
        </w:rPr>
        <w:t>1</w:t>
      </w:r>
      <w:r>
        <w:rPr>
          <w:shd w:val="clear" w:color="auto" w:fill="FFFFFF" w:themeFill="background1"/>
        </w:rPr>
        <w:t> Il Comune può indennizzare integralmente o in parte le riduzioni delle entrate da attività agricola oppure partecipare ai costi di misure di protezione, se ciò è previsto da una legge comunale oppure da una decisione dell'assemblea comunale o da una decisione di credito soggetta a referendum.</w:t>
      </w:r>
    </w:p>
    <w:p w14:paraId="24DD13C0" w14:textId="5660372B" w:rsidR="00680852" w:rsidRPr="00782E7A" w:rsidRDefault="00680852" w:rsidP="00F01E46">
      <w:pPr>
        <w:jc w:val="both"/>
        <w:rPr>
          <w:shd w:val="clear" w:color="auto" w:fill="FFFFFF" w:themeFill="background1"/>
        </w:rPr>
      </w:pPr>
      <w:r>
        <w:rPr>
          <w:shd w:val="clear" w:color="auto" w:fill="FFFFFF" w:themeFill="background1"/>
          <w:vertAlign w:val="superscript"/>
        </w:rPr>
        <w:t>2</w:t>
      </w:r>
      <w:r>
        <w:rPr>
          <w:shd w:val="clear" w:color="auto" w:fill="FFFFFF" w:themeFill="background1"/>
        </w:rPr>
        <w:t xml:space="preserve"> Un eventuale indennizzo di riduzioni delle entrate o eventuali partecipazioni ai costi da parte del Comune vengono disciplinati in accordi stipulati tra il </w:t>
      </w:r>
      <w:r>
        <w:rPr>
          <w:highlight w:val="yellow"/>
          <w:shd w:val="clear" w:color="auto" w:fill="FFFFFF" w:themeFill="background1"/>
        </w:rPr>
        <w:t>Comune o l'ente responsabile dell'approvvigionamento idrico</w:t>
      </w:r>
      <w:r>
        <w:rPr>
          <w:shd w:val="clear" w:color="auto" w:fill="FFFFFF" w:themeFill="background1"/>
        </w:rPr>
        <w:t xml:space="preserve"> e i proprietari dei fondi. Il rimando a eventuali accordi viene stabilito nell'allegato «Stima dei costi </w:t>
      </w:r>
      <w:r>
        <w:rPr>
          <w:highlight w:val="yellow"/>
          <w:shd w:val="clear" w:color="auto" w:fill="FFFFFF" w:themeFill="background1"/>
        </w:rPr>
        <w:t>e indennizzi</w:t>
      </w:r>
      <w:r>
        <w:rPr>
          <w:shd w:val="clear" w:color="auto" w:fill="FFFFFF" w:themeFill="background1"/>
        </w:rPr>
        <w:t>» (allegato 2).</w:t>
      </w:r>
    </w:p>
    <w:p w14:paraId="256C8EC6" w14:textId="2BFDE06D" w:rsidR="001A1E0E" w:rsidRPr="00782E7A" w:rsidRDefault="00680852" w:rsidP="00680852">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Questo articolo deve essere inserito soltanto se gli aventi diritto di voto del Comune hanno effettivamente emanato una corrispondente norma legislativa o se hanno acconsentito alle partecipazioni ai costi. In caso di rinuncia a tali indennizzi/partecipazioni ai costi, il titolo dell'allegato 2 deve essere adeguato di conseguenza.</w:t>
      </w:r>
    </w:p>
    <w:p w14:paraId="0C24A5D3" w14:textId="3153CB50" w:rsidR="00AB48D0" w:rsidRPr="00782E7A" w:rsidRDefault="00AB48D0" w:rsidP="00680852">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Le partecipazioni ai costi da parte del Comune necessitano in linea di principio di una base legale. La creazione di una tale base ha il vantaggio che tutte le fattispecie paragonabili possono essere indennizzate allo stesso modo (principio dell'uguaglianza giuridica). Il diritto in materia di gestione finanziaria stabilisce che una decisione di credito soggetta a referendum può sostituire una base legale. Questo approccio può essere problematico per quanto riguarda l'uguaglianza giuridica, consente tuttavia un controllo delle uscite più rigoroso.</w:t>
      </w:r>
    </w:p>
    <w:p w14:paraId="4E0BCA14" w14:textId="67934FFE" w:rsidR="00AD19A6" w:rsidRPr="00782E7A" w:rsidRDefault="00AD19A6" w:rsidP="00BA2372">
      <w:pPr>
        <w:pStyle w:val="berschrift1"/>
      </w:pPr>
      <w:r>
        <w:lastRenderedPageBreak/>
        <w:t>Disposizione penale</w:t>
      </w:r>
    </w:p>
    <w:p w14:paraId="4C0CEC7E" w14:textId="64855FDE" w:rsidR="00AD19A6" w:rsidRPr="00782E7A" w:rsidRDefault="00AD19A6" w:rsidP="0044481E">
      <w:pPr>
        <w:pStyle w:val="Artikel"/>
      </w:pPr>
      <w:r>
        <w:t xml:space="preserve">Art. </w:t>
      </w:r>
      <w:r>
        <w:fldChar w:fldCharType="begin"/>
      </w:r>
      <w:r>
        <w:instrText xml:space="preserve"> AUTONUMLGL  \e </w:instrText>
      </w:r>
      <w:r>
        <w:fldChar w:fldCharType="separate"/>
      </w:r>
      <w:r>
        <w:fldChar w:fldCharType="end"/>
      </w:r>
      <w:r>
        <w:tab/>
        <w:t xml:space="preserve">Disposizioni penali </w:t>
      </w:r>
    </w:p>
    <w:p w14:paraId="26D98E05" w14:textId="069AA9CD" w:rsidR="00AD19A6" w:rsidRPr="00782E7A" w:rsidRDefault="00AD19A6" w:rsidP="00AD19A6">
      <w:pPr>
        <w:jc w:val="both"/>
      </w:pPr>
      <w:bookmarkStart w:id="2" w:name="OLE_LINK1"/>
      <w:bookmarkEnd w:id="2"/>
      <w:r>
        <w:t xml:space="preserve">Infrazioni al presente regolamento e alle decisioni emanate su di esso sono punite secondo le disposizioni penali della legge sulla protezione delle acque e della legge sulla protezione dell'ambiente. </w:t>
      </w:r>
    </w:p>
    <w:p w14:paraId="466BA1BE" w14:textId="4ACE789B" w:rsidR="00AD19A6" w:rsidRPr="00782E7A" w:rsidRDefault="00AD19A6" w:rsidP="00B8431D">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Questa disposizione ha unicamente «carattere informativo». La punibilità risulta già dal diritto di rango superiore.</w:t>
      </w:r>
    </w:p>
    <w:p w14:paraId="76DCF441" w14:textId="73102942" w:rsidR="00BA2372" w:rsidRPr="00782E7A" w:rsidRDefault="00BA2372" w:rsidP="00BA2372">
      <w:pPr>
        <w:pStyle w:val="berschrift1"/>
      </w:pPr>
      <w:r>
        <w:t>Disposizioni finali</w:t>
      </w:r>
    </w:p>
    <w:p w14:paraId="1E5830CE" w14:textId="192EDE93" w:rsidR="00894C3B" w:rsidRPr="00782E7A" w:rsidRDefault="00894C3B" w:rsidP="0044481E">
      <w:pPr>
        <w:pStyle w:val="Artikel"/>
      </w:pPr>
      <w:r>
        <w:t xml:space="preserve">Art. </w:t>
      </w:r>
      <w:r>
        <w:fldChar w:fldCharType="begin"/>
      </w:r>
      <w:r>
        <w:instrText xml:space="preserve"> AUTONUMLGL  \e </w:instrText>
      </w:r>
      <w:r>
        <w:fldChar w:fldCharType="separate"/>
      </w:r>
      <w:r>
        <w:fldChar w:fldCharType="end"/>
      </w:r>
      <w:r>
        <w:tab/>
        <w:t>Menzioni a registro fondiario</w:t>
      </w:r>
    </w:p>
    <w:p w14:paraId="3854FF04" w14:textId="19AFC1FE" w:rsidR="00894C3B" w:rsidRPr="00782E7A" w:rsidRDefault="00894C3B" w:rsidP="003C295A">
      <w:pPr>
        <w:jc w:val="both"/>
      </w:pPr>
      <w:r>
        <w:rPr>
          <w:rStyle w:val="Hochgestellt"/>
        </w:rPr>
        <w:t>1</w:t>
      </w:r>
      <w:r>
        <w:t xml:space="preserve"> Il municipio fa menzionare nel registro fondiario le restrizioni di diritto pubblico della proprietà stabilite nel presente regolamento con la dicitura «zona di protezione delle acque sotterranee pubblica </w:t>
      </w:r>
      <w:r>
        <w:rPr>
          <w:highlight w:val="yellow"/>
        </w:rPr>
        <w:t>della/e captazione/i di sorgente / acque sotterranee [nome della/e captazione/i]</w:t>
      </w:r>
      <w:r>
        <w:t xml:space="preserve">» e con l'aggiunta S1, S2 o S3 per i fondi interessati. </w:t>
      </w:r>
    </w:p>
    <w:p w14:paraId="2FC80E6D" w14:textId="1E9421C4" w:rsidR="00894C3B" w:rsidRPr="00782E7A" w:rsidRDefault="00894C3B" w:rsidP="003C295A">
      <w:pPr>
        <w:jc w:val="both"/>
      </w:pPr>
      <w:r>
        <w:rPr>
          <w:rStyle w:val="Hochgestellt"/>
        </w:rPr>
        <w:t>2</w:t>
      </w:r>
      <w:r>
        <w:t xml:space="preserve"> Ne sono integralmente o parzialmente interessate le particelle seguenti: </w:t>
      </w:r>
      <w:r>
        <w:rPr>
          <w:highlight w:val="yellow"/>
        </w:rPr>
        <w:t>[indicare i numeri delle particelle]</w:t>
      </w:r>
      <w:r w:rsidR="0077460D">
        <w:t>.</w:t>
      </w:r>
    </w:p>
    <w:p w14:paraId="28DE3A80" w14:textId="2292CCF6" w:rsidR="00894C3B" w:rsidRPr="00782E7A" w:rsidRDefault="00894C3B" w:rsidP="0044481E">
      <w:pPr>
        <w:pStyle w:val="Artikel"/>
      </w:pPr>
      <w:r>
        <w:t xml:space="preserve">Art. </w:t>
      </w:r>
      <w:r>
        <w:fldChar w:fldCharType="begin"/>
      </w:r>
      <w:r>
        <w:instrText xml:space="preserve"> AUTONUMLGL  \e </w:instrText>
      </w:r>
      <w:r>
        <w:fldChar w:fldCharType="separate"/>
      </w:r>
      <w:r>
        <w:fldChar w:fldCharType="end"/>
      </w:r>
      <w:r>
        <w:tab/>
        <w:t xml:space="preserve">Verifica delle zone di protezione delle acque sotterranee </w:t>
      </w:r>
    </w:p>
    <w:p w14:paraId="7076FE3D" w14:textId="7E3683AA" w:rsidR="00894C3B" w:rsidRPr="00782E7A" w:rsidRDefault="00894C3B" w:rsidP="003C295A">
      <w:pPr>
        <w:jc w:val="both"/>
      </w:pPr>
      <w:r>
        <w:rPr>
          <w:rStyle w:val="Hochgestellt"/>
        </w:rPr>
        <w:t>1</w:t>
      </w:r>
      <w:r>
        <w:t xml:space="preserve"> In caso di nuove importanti cognizioni o in caso di nuove importanti prescrizioni di legge, </w:t>
      </w:r>
      <w:r>
        <w:rPr>
          <w:highlight w:val="yellow"/>
        </w:rPr>
        <w:t>il/la proprietario/a</w:t>
      </w:r>
      <w:r>
        <w:t xml:space="preserve"> della captazione, spontaneamente o su richiesta del municipio o del servizio specializzato preposto alla protezione delle acque, fa verificare i piani delle zone di protezione e il regolamento e se necessario li fa rielaborare.</w:t>
      </w:r>
    </w:p>
    <w:p w14:paraId="20045DC7" w14:textId="42636204" w:rsidR="00894C3B" w:rsidRPr="00782E7A" w:rsidRDefault="00894C3B" w:rsidP="003C295A">
      <w:pPr>
        <w:spacing w:after="240"/>
        <w:jc w:val="both"/>
      </w:pPr>
      <w:r>
        <w:rPr>
          <w:rStyle w:val="Hochgestellt"/>
        </w:rPr>
        <w:t>2</w:t>
      </w:r>
      <w:r>
        <w:t xml:space="preserve"> In caso di qualità insufficiente dell'acqua potabile, </w:t>
      </w:r>
      <w:r>
        <w:rPr>
          <w:highlight w:val="yellow"/>
        </w:rPr>
        <w:t>il/la proprietario/a</w:t>
      </w:r>
      <w:r>
        <w:t xml:space="preserve"> della captazione d'acqua ne chiarisce le cause. Su questa base, il municipio dispone le misure necessarie. Se ne risulta che con ciò non viene raggiunto un miglioramento sostanziale, i piani delle zone di protezione e il regolamento vengono verificati e se necessario rielaborati.</w:t>
      </w:r>
    </w:p>
    <w:p w14:paraId="628E5942" w14:textId="1377D49B" w:rsidR="00894C3B" w:rsidRPr="00782E7A" w:rsidRDefault="00894C3B" w:rsidP="0044481E">
      <w:pPr>
        <w:pStyle w:val="Artikel"/>
      </w:pPr>
      <w:r>
        <w:t xml:space="preserve">Art. </w:t>
      </w:r>
      <w:r>
        <w:fldChar w:fldCharType="begin"/>
      </w:r>
      <w:r>
        <w:instrText xml:space="preserve"> AUTONUMLGL  \e </w:instrText>
      </w:r>
      <w:r>
        <w:fldChar w:fldCharType="separate"/>
      </w:r>
      <w:r>
        <w:fldChar w:fldCharType="end"/>
      </w:r>
      <w:r>
        <w:tab/>
        <w:t>Abrogazione del diritto anteriore</w:t>
      </w:r>
    </w:p>
    <w:p w14:paraId="0A031B23" w14:textId="19F3E67B" w:rsidR="00894C3B" w:rsidRPr="00782E7A" w:rsidRDefault="00894C3B" w:rsidP="003C295A">
      <w:pPr>
        <w:spacing w:after="240"/>
        <w:jc w:val="both"/>
      </w:pPr>
      <w:r>
        <w:t xml:space="preserve">Il regolamento e </w:t>
      </w:r>
      <w:r>
        <w:rPr>
          <w:highlight w:val="yellow"/>
        </w:rPr>
        <w:t>il piano/i piani delle zone di protezione</w:t>
      </w:r>
      <w:r>
        <w:t xml:space="preserve">, emanati dal municipio il </w:t>
      </w:r>
      <w:r>
        <w:rPr>
          <w:highlight w:val="yellow"/>
        </w:rPr>
        <w:t>[data]</w:t>
      </w:r>
      <w:r>
        <w:t xml:space="preserve"> e approvati dal Governo il </w:t>
      </w:r>
      <w:r>
        <w:rPr>
          <w:highlight w:val="yellow"/>
        </w:rPr>
        <w:t>[data</w:t>
      </w:r>
      <w:r>
        <w:t>], sono abrogati.</w:t>
      </w:r>
    </w:p>
    <w:p w14:paraId="56C3BAEA" w14:textId="49CAC810" w:rsidR="003C295A" w:rsidRPr="00782E7A" w:rsidRDefault="003C295A" w:rsidP="00B8431D">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Se finora il Comune non ha ancora emanato un regolamento delle zone di protezione, questo articolo è superfluo.</w:t>
      </w:r>
    </w:p>
    <w:p w14:paraId="3434BF3E" w14:textId="3B8360B9" w:rsidR="00894C3B" w:rsidRPr="00782E7A" w:rsidRDefault="00894C3B" w:rsidP="0044481E">
      <w:pPr>
        <w:pStyle w:val="Artikel"/>
      </w:pPr>
      <w:r>
        <w:t xml:space="preserve">Art. </w:t>
      </w:r>
      <w:r>
        <w:fldChar w:fldCharType="begin"/>
      </w:r>
      <w:r>
        <w:instrText xml:space="preserve"> AUTONUMLGL  \e </w:instrText>
      </w:r>
      <w:r>
        <w:fldChar w:fldCharType="separate"/>
      </w:r>
      <w:r>
        <w:fldChar w:fldCharType="end"/>
      </w:r>
      <w:r>
        <w:tab/>
        <w:t>Entrata in vigore</w:t>
      </w:r>
    </w:p>
    <w:p w14:paraId="669989D5" w14:textId="52E1F49B" w:rsidR="00894C3B" w:rsidRPr="00782E7A" w:rsidRDefault="00894C3B" w:rsidP="00894C3B">
      <w:pPr>
        <w:spacing w:after="240"/>
      </w:pPr>
      <w:r>
        <w:t xml:space="preserve">Il presente regolamento e </w:t>
      </w:r>
      <w:r>
        <w:rPr>
          <w:highlight w:val="yellow"/>
        </w:rPr>
        <w:t>il relativo piano/i relativi piani delle zone di protezione</w:t>
      </w:r>
      <w:r>
        <w:t xml:space="preserve"> entrano in vigore con l'approvazione da parte del Governo del Cantone dei Grigioni.</w:t>
      </w:r>
    </w:p>
    <w:p w14:paraId="55FDFFCD" w14:textId="77777777" w:rsidR="00602E9D" w:rsidRPr="00782E7A" w:rsidRDefault="0027609D" w:rsidP="006C07F7">
      <w:pPr>
        <w:pStyle w:val="berschrift1"/>
        <w:ind w:left="357" w:hanging="357"/>
      </w:pPr>
      <w:r>
        <w:lastRenderedPageBreak/>
        <w:t>Emanazione e approvazione</w:t>
      </w:r>
    </w:p>
    <w:p w14:paraId="5E0A6E9C" w14:textId="77777777" w:rsidR="00F163A4" w:rsidRPr="00782E7A" w:rsidRDefault="00F163A4" w:rsidP="00F163A4">
      <w:r>
        <w:t xml:space="preserve">Esposizione pubblica dal </w:t>
      </w:r>
      <w:r>
        <w:rPr>
          <w:highlight w:val="yellow"/>
        </w:rPr>
        <w:t>[.....]</w:t>
      </w:r>
      <w:r>
        <w:t xml:space="preserve"> al </w:t>
      </w:r>
      <w:r>
        <w:rPr>
          <w:highlight w:val="yellow"/>
        </w:rPr>
        <w:t>[.....]</w:t>
      </w:r>
    </w:p>
    <w:p w14:paraId="0D21C74A" w14:textId="77777777" w:rsidR="00B8431D" w:rsidRPr="00782E7A" w:rsidRDefault="00B8431D" w:rsidP="00B8431D">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In previsione dell'applicazione della protezione delle acque e dell'applicabilità delle restrizioni d'utilizzazione nonché delle misure di protezione necessarie, il regolamento delle zone di protezione conformemente al diritto cantonale deve essere emanato secondo la procedura applicata in caso di decisione generale. Questo significa che l'atto normativo previsto (con gli allegati) deve essere pubblicato ed esposto ufficialmente, con la possibilità di sollevare obiezioni entro 30 giorni. Solo successivamente il regolamento potrà essere emanato (e nuovamente pubblicato).</w:t>
      </w:r>
    </w:p>
    <w:p w14:paraId="63E7252B" w14:textId="77777777" w:rsidR="00B8431D" w:rsidRPr="00782E7A" w:rsidRDefault="00B8431D" w:rsidP="00B8431D">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Dopo l'entrata in vigore del regolamento, il municipio non dovrà più disporre tramite decisione ogni singola misura relativa a edifici, impianti e utilizzazioni esistenti. Se le misure disposte nel catasto dei pericoli non vengono attuate entro i termini stabiliti, il Comune emana le necessarie decisioni d'esecuzione.</w:t>
      </w:r>
    </w:p>
    <w:p w14:paraId="77518F12" w14:textId="77777777" w:rsidR="00B8431D" w:rsidRPr="00782E7A" w:rsidRDefault="00B8431D" w:rsidP="0048592B"/>
    <w:p w14:paraId="05BAEC97" w14:textId="01F501E2" w:rsidR="00CB7AE5" w:rsidRPr="00782E7A" w:rsidRDefault="00CB7AE5" w:rsidP="0048592B">
      <w:r>
        <w:t xml:space="preserve">Emanato dal municipio del Comune di </w:t>
      </w:r>
      <w:r>
        <w:rPr>
          <w:highlight w:val="yellow"/>
        </w:rPr>
        <w:t>[…..]</w:t>
      </w:r>
      <w:r>
        <w:t xml:space="preserve"> il </w:t>
      </w:r>
      <w:r>
        <w:rPr>
          <w:highlight w:val="yellow"/>
        </w:rPr>
        <w:t>[…..]</w:t>
      </w:r>
    </w:p>
    <w:p w14:paraId="0CA544EC" w14:textId="087DF1F7" w:rsidR="00CB7AE5" w:rsidRPr="00782E7A" w:rsidRDefault="00CB7AE5" w:rsidP="00CB7AE5">
      <w:pPr>
        <w:tabs>
          <w:tab w:val="left" w:pos="5103"/>
        </w:tabs>
      </w:pPr>
      <w:r>
        <w:t>Il sindaco</w:t>
      </w:r>
      <w:r>
        <w:rPr>
          <w:highlight w:val="yellow"/>
        </w:rPr>
        <w:t xml:space="preserve"> / La sindaca</w:t>
      </w:r>
      <w:r w:rsidR="0077460D">
        <w:tab/>
      </w:r>
      <w:r>
        <w:t>Il segretario comunale</w:t>
      </w:r>
      <w:r>
        <w:rPr>
          <w:highlight w:val="yellow"/>
        </w:rPr>
        <w:t xml:space="preserve"> / La segretaria</w:t>
      </w:r>
      <w:r w:rsidR="0077460D">
        <w:rPr>
          <w:highlight w:val="yellow"/>
        </w:rPr>
        <w:t> </w:t>
      </w:r>
      <w:r>
        <w:rPr>
          <w:highlight w:val="yellow"/>
        </w:rPr>
        <w:t>comunale</w:t>
      </w:r>
    </w:p>
    <w:p w14:paraId="6D8D42DA" w14:textId="014FDDA7" w:rsidR="00CB7AE5" w:rsidRPr="00782E7A" w:rsidRDefault="00CB7AE5" w:rsidP="0048592B"/>
    <w:p w14:paraId="6FF708D6" w14:textId="23996A00" w:rsidR="00CB7AE5" w:rsidRPr="00782E7A" w:rsidRDefault="00CB7AE5" w:rsidP="00CB7AE5">
      <w:pPr>
        <w:tabs>
          <w:tab w:val="left" w:pos="5103"/>
        </w:tabs>
      </w:pPr>
      <w:r>
        <w:t>……………………………………..</w:t>
      </w:r>
      <w:r>
        <w:tab/>
        <w:t>…………………………………………</w:t>
      </w:r>
    </w:p>
    <w:p w14:paraId="582B4688" w14:textId="532C2051" w:rsidR="005812C9" w:rsidRPr="00782E7A" w:rsidRDefault="005812C9" w:rsidP="0048592B"/>
    <w:p w14:paraId="70F27F71" w14:textId="2898DAAF" w:rsidR="00AD19A6" w:rsidRPr="00782E7A" w:rsidRDefault="005812C9" w:rsidP="00A428EC">
      <w:pPr>
        <w:spacing w:after="240"/>
      </w:pPr>
      <w:r>
        <w:t>Approvato dal Governo del Cantone dei Grigioni il ………………………………</w:t>
      </w:r>
    </w:p>
    <w:sectPr w:rsidR="00AD19A6" w:rsidRPr="00782E7A" w:rsidSect="00202D5E">
      <w:headerReference w:type="default" r:id="rId11"/>
      <w:footerReference w:type="default" r:id="rId12"/>
      <w:endnotePr>
        <w:numFmt w:val="decimal"/>
      </w:endnotePr>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6063" w14:textId="77777777" w:rsidR="0085282F" w:rsidRPr="00782E7A" w:rsidRDefault="0085282F" w:rsidP="00202D5E">
      <w:pPr>
        <w:spacing w:after="0" w:line="240" w:lineRule="auto"/>
      </w:pPr>
      <w:r w:rsidRPr="00782E7A">
        <w:separator/>
      </w:r>
    </w:p>
  </w:endnote>
  <w:endnote w:type="continuationSeparator" w:id="0">
    <w:p w14:paraId="7EACC7D4" w14:textId="77777777" w:rsidR="0085282F" w:rsidRPr="00782E7A" w:rsidRDefault="0085282F" w:rsidP="00202D5E">
      <w:pPr>
        <w:spacing w:after="0" w:line="240" w:lineRule="auto"/>
      </w:pPr>
      <w:r w:rsidRPr="00782E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A4F0" w14:textId="6BA1AA07" w:rsidR="00E01BC8" w:rsidRPr="00782E7A" w:rsidRDefault="00E01BC8" w:rsidP="00AA4694">
    <w:pPr>
      <w:pStyle w:val="Fuzeile"/>
      <w:jc w:val="center"/>
      <w:rPr>
        <w:sz w:val="18"/>
      </w:rPr>
    </w:pPr>
    <w:r w:rsidRPr="00782E7A">
      <w:rPr>
        <w:sz w:val="18"/>
      </w:rPr>
      <w:fldChar w:fldCharType="begin"/>
    </w:r>
    <w:r w:rsidRPr="00782E7A">
      <w:rPr>
        <w:sz w:val="18"/>
      </w:rPr>
      <w:instrText>PAGE   \* MERGEFORMAT</w:instrText>
    </w:r>
    <w:r w:rsidRPr="00782E7A">
      <w:rPr>
        <w:sz w:val="18"/>
      </w:rPr>
      <w:fldChar w:fldCharType="separate"/>
    </w:r>
    <w:r w:rsidR="00A17C0E" w:rsidRPr="00782E7A">
      <w:rPr>
        <w:sz w:val="18"/>
      </w:rPr>
      <w:t>1</w:t>
    </w:r>
    <w:r w:rsidRPr="00782E7A">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2875" w14:textId="77777777" w:rsidR="0085282F" w:rsidRPr="00782E7A" w:rsidRDefault="0085282F" w:rsidP="00202D5E">
      <w:pPr>
        <w:spacing w:after="0" w:line="240" w:lineRule="auto"/>
      </w:pPr>
      <w:r w:rsidRPr="00782E7A">
        <w:separator/>
      </w:r>
    </w:p>
  </w:footnote>
  <w:footnote w:type="continuationSeparator" w:id="0">
    <w:p w14:paraId="0386A459" w14:textId="77777777" w:rsidR="0085282F" w:rsidRPr="00782E7A" w:rsidRDefault="0085282F" w:rsidP="00202D5E">
      <w:pPr>
        <w:spacing w:after="0" w:line="240" w:lineRule="auto"/>
      </w:pPr>
      <w:r w:rsidRPr="00782E7A">
        <w:continuationSeparator/>
      </w:r>
    </w:p>
  </w:footnote>
  <w:footnote w:id="1">
    <w:p w14:paraId="76506B1B" w14:textId="6C23FADC" w:rsidR="003770BC" w:rsidRPr="00782E7A" w:rsidRDefault="003770BC" w:rsidP="00BA07EF">
      <w:pPr>
        <w:pStyle w:val="Funotentext"/>
        <w:spacing w:after="60"/>
        <w:ind w:left="142" w:hanging="142"/>
        <w:rPr>
          <w:sz w:val="19"/>
          <w:szCs w:val="19"/>
        </w:rPr>
      </w:pPr>
      <w:r>
        <w:rPr>
          <w:rStyle w:val="Funotenzeichen"/>
          <w:sz w:val="19"/>
          <w:szCs w:val="19"/>
        </w:rPr>
        <w:footnoteRef/>
      </w:r>
      <w:r>
        <w:rPr>
          <w:sz w:val="19"/>
        </w:rPr>
        <w:tab/>
      </w:r>
      <w:r>
        <w:rPr>
          <w:sz w:val="19"/>
          <w:highlight w:val="yellow"/>
        </w:rPr>
        <w:t>Il piano / i piani delle zone di protezione è pubblicato/sono pubblicati</w:t>
      </w:r>
      <w:r>
        <w:rPr>
          <w:sz w:val="19"/>
        </w:rPr>
        <w:t xml:space="preserve"> sul sito web del Comune su [</w:t>
      </w:r>
      <w:r>
        <w:rPr>
          <w:sz w:val="19"/>
          <w:highlight w:val="yellow"/>
        </w:rPr>
        <w:t>link</w:t>
      </w:r>
      <w:r>
        <w:rPr>
          <w:sz w:val="19"/>
        </w:rPr>
        <w:t>] e può/possono essere consultato/i tramite il Catasto delle restrizioni di diritto pubblico della proprietà [</w:t>
      </w:r>
      <w:hyperlink r:id="rId1" w:anchor="/" w:history="1">
        <w:r w:rsidRPr="00256C79">
          <w:rPr>
            <w:rStyle w:val="Hyperlink"/>
            <w:color w:val="auto"/>
            <w:sz w:val="19"/>
            <w:u w:val="none"/>
          </w:rPr>
          <w:t>https://oereb.geo.gr.ch/#/</w:t>
        </w:r>
      </w:hyperlink>
      <w:r>
        <w:rPr>
          <w:sz w:val="19"/>
        </w:rPr>
        <w:t xml:space="preserve">]. </w:t>
      </w:r>
    </w:p>
  </w:footnote>
  <w:footnote w:id="2">
    <w:p w14:paraId="1EA59D9D" w14:textId="08796A55" w:rsidR="00BA07EF" w:rsidRPr="00782E7A" w:rsidRDefault="00BA07EF" w:rsidP="00BA07EF">
      <w:pPr>
        <w:pStyle w:val="Funotentext"/>
        <w:ind w:left="142" w:hanging="142"/>
      </w:pPr>
      <w:r>
        <w:rPr>
          <w:rStyle w:val="Funotenzeichen"/>
          <w:sz w:val="19"/>
          <w:szCs w:val="19"/>
        </w:rPr>
        <w:footnoteRef/>
      </w:r>
      <w:r>
        <w:rPr>
          <w:sz w:val="19"/>
        </w:rPr>
        <w:tab/>
        <w:t>Il rapporto idrogeologico può essere consultato presso il Comune.</w:t>
      </w:r>
    </w:p>
  </w:footnote>
  <w:footnote w:id="3">
    <w:p w14:paraId="1E5D75DF" w14:textId="5F62D33D" w:rsidR="00340368" w:rsidRPr="00782E7A" w:rsidRDefault="00340368" w:rsidP="00340368">
      <w:pPr>
        <w:pStyle w:val="Funotentext"/>
        <w:ind w:left="142" w:hanging="142"/>
      </w:pPr>
      <w:r>
        <w:rPr>
          <w:rStyle w:val="Funotenzeichen"/>
        </w:rPr>
        <w:footnoteRef/>
      </w:r>
      <w:r>
        <w:tab/>
      </w:r>
      <w:r w:rsidRPr="00256C79">
        <w:rPr>
          <w:sz w:val="19"/>
          <w:szCs w:val="19"/>
        </w:rPr>
        <w:t>Pubblicate sul sito web dell'UFAM (</w:t>
      </w:r>
      <w:hyperlink r:id="rId2" w:history="1">
        <w:r w:rsidRPr="00256C79">
          <w:rPr>
            <w:rStyle w:val="Hyperlink"/>
            <w:color w:val="auto"/>
            <w:sz w:val="19"/>
            <w:szCs w:val="19"/>
          </w:rPr>
          <w:t>https://www.bafu.admin.ch/dam/bafu/de/dokumente/wasser/uv-umwelt-vollzug/wegleitung_grundwasserschutz.pdf.download.pdf/wegleitung_grundwasserschutz.pdf</w:t>
        </w:r>
      </w:hyperlink>
      <w:r w:rsidRPr="00256C79">
        <w:rPr>
          <w:sz w:val="19"/>
          <w:szCs w:val="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963F" w14:textId="77777777" w:rsidR="00E01BC8" w:rsidRPr="00782E7A" w:rsidRDefault="00E01BC8" w:rsidP="008954CF">
    <w:pPr>
      <w:pStyle w:val="Kopfzeile"/>
      <w:tabs>
        <w:tab w:val="clear" w:pos="4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EF2"/>
    <w:multiLevelType w:val="multilevel"/>
    <w:tmpl w:val="13C004FE"/>
    <w:lvl w:ilvl="0">
      <w:start w:val="1"/>
      <w:numFmt w:val="upperRoman"/>
      <w:pStyle w:val="Titel1"/>
      <w:lvlText w:val="%1"/>
      <w:lvlJc w:val="left"/>
      <w:pPr>
        <w:tabs>
          <w:tab w:val="num" w:pos="851"/>
        </w:tabs>
        <w:ind w:left="0" w:firstLine="0"/>
      </w:pPr>
      <w:rPr>
        <w:rFonts w:hint="default"/>
      </w:rPr>
    </w:lvl>
    <w:lvl w:ilvl="1">
      <w:start w:val="1"/>
      <w:numFmt w:val="decimal"/>
      <w:lvlRestart w:val="0"/>
      <w:pStyle w:val="Titel2"/>
      <w:lvlText w:val="Art. %2"/>
      <w:lvlJc w:val="left"/>
      <w:pPr>
        <w:tabs>
          <w:tab w:val="num" w:pos="851"/>
        </w:tabs>
        <w:ind w:left="0" w:firstLine="0"/>
      </w:pPr>
      <w:rPr>
        <w:rFonts w:hint="default"/>
      </w:rPr>
    </w:lvl>
    <w:lvl w:ilvl="2">
      <w:start w:val="1"/>
      <w:numFmt w:val="decimal"/>
      <w:pStyle w:val="Titel3"/>
      <w:lvlText w:val="%2.%3"/>
      <w:lvlJc w:val="left"/>
      <w:pPr>
        <w:tabs>
          <w:tab w:val="num" w:pos="993"/>
        </w:tabs>
        <w:ind w:left="142" w:firstLine="0"/>
      </w:pPr>
      <w:rPr>
        <w:rFonts w:hint="default"/>
      </w:rPr>
    </w:lvl>
    <w:lvl w:ilvl="3">
      <w:start w:val="1"/>
      <w:numFmt w:val="none"/>
      <w:lvlRestart w:val="0"/>
      <w:pStyle w:val="berschrift4"/>
      <w:lvlText w:val=""/>
      <w:lvlJc w:val="left"/>
      <w:pPr>
        <w:tabs>
          <w:tab w:val="num" w:pos="851"/>
        </w:tabs>
        <w:ind w:left="851" w:hanging="851"/>
      </w:pPr>
      <w:rPr>
        <w:rFonts w:hint="default"/>
      </w:rPr>
    </w:lvl>
    <w:lvl w:ilvl="4">
      <w:start w:val="1"/>
      <w:numFmt w:val="none"/>
      <w:lvlRestart w:val="0"/>
      <w:pStyle w:val="berschrift5"/>
      <w:lvlText w:val=""/>
      <w:lvlJc w:val="left"/>
      <w:pPr>
        <w:tabs>
          <w:tab w:val="num" w:pos="0"/>
        </w:tabs>
        <w:ind w:left="0" w:firstLine="0"/>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066D41BF"/>
    <w:multiLevelType w:val="hybridMultilevel"/>
    <w:tmpl w:val="2A28B92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0BFB5A7D"/>
    <w:multiLevelType w:val="hybridMultilevel"/>
    <w:tmpl w:val="4D064762"/>
    <w:lvl w:ilvl="0" w:tplc="1CD686E4">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9F600E"/>
    <w:multiLevelType w:val="hybridMultilevel"/>
    <w:tmpl w:val="6C60345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D41173A"/>
    <w:multiLevelType w:val="hybridMultilevel"/>
    <w:tmpl w:val="969EA08E"/>
    <w:lvl w:ilvl="0" w:tplc="ACC81D48">
      <w:start w:val="1"/>
      <w:numFmt w:val="decimal"/>
      <w:pStyle w:val="berschrift2"/>
      <w:lvlText w:val="2.%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F51260F"/>
    <w:multiLevelType w:val="hybridMultilevel"/>
    <w:tmpl w:val="07A240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1D365F9"/>
    <w:multiLevelType w:val="hybridMultilevel"/>
    <w:tmpl w:val="A662962E"/>
    <w:lvl w:ilvl="0" w:tplc="FFFFFFFF">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5BC6776"/>
    <w:multiLevelType w:val="hybridMultilevel"/>
    <w:tmpl w:val="9FE6BFEA"/>
    <w:lvl w:ilvl="0" w:tplc="0807000F">
      <w:start w:val="1"/>
      <w:numFmt w:val="decimal"/>
      <w:pStyle w:val="berschrift1"/>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6084348"/>
    <w:multiLevelType w:val="singleLevel"/>
    <w:tmpl w:val="28244C3E"/>
    <w:lvl w:ilvl="0">
      <w:start w:val="1"/>
      <w:numFmt w:val="lowerLetter"/>
      <w:lvlText w:val="%1."/>
      <w:lvlJc w:val="left"/>
      <w:pPr>
        <w:tabs>
          <w:tab w:val="num" w:pos="420"/>
        </w:tabs>
        <w:ind w:left="420" w:hanging="420"/>
      </w:pPr>
      <w:rPr>
        <w:rFonts w:hint="default"/>
      </w:rPr>
    </w:lvl>
  </w:abstractNum>
  <w:abstractNum w:abstractNumId="9" w15:restartNumberingAfterBreak="0">
    <w:nsid w:val="28DF2AA4"/>
    <w:multiLevelType w:val="hybridMultilevel"/>
    <w:tmpl w:val="BC32695E"/>
    <w:lvl w:ilvl="0" w:tplc="6080AD60">
      <w:start w:val="5"/>
      <w:numFmt w:val="bullet"/>
      <w:lvlText w:val="–"/>
      <w:lvlJc w:val="left"/>
      <w:pPr>
        <w:ind w:left="360" w:hanging="360"/>
      </w:pPr>
      <w:rPr>
        <w:rFonts w:ascii="Arial" w:eastAsiaTheme="minorHAnsi"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95B4BE3"/>
    <w:multiLevelType w:val="hybridMultilevel"/>
    <w:tmpl w:val="60BEEA5E"/>
    <w:lvl w:ilvl="0" w:tplc="FD844D22">
      <w:start w:val="1"/>
      <w:numFmt w:val="bullet"/>
      <w:lvlText w:val="-"/>
      <w:lvlJc w:val="left"/>
      <w:pPr>
        <w:ind w:left="360" w:hanging="360"/>
      </w:pPr>
      <w:rPr>
        <w:rFonts w:ascii="Arial" w:eastAsiaTheme="minorHAnsi"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A6D5466"/>
    <w:multiLevelType w:val="singleLevel"/>
    <w:tmpl w:val="28244C3E"/>
    <w:lvl w:ilvl="0">
      <w:start w:val="1"/>
      <w:numFmt w:val="lowerLetter"/>
      <w:lvlText w:val="%1."/>
      <w:lvlJc w:val="left"/>
      <w:pPr>
        <w:tabs>
          <w:tab w:val="num" w:pos="420"/>
        </w:tabs>
        <w:ind w:left="420" w:hanging="420"/>
      </w:pPr>
      <w:rPr>
        <w:rFonts w:hint="default"/>
      </w:rPr>
    </w:lvl>
  </w:abstractNum>
  <w:abstractNum w:abstractNumId="12" w15:restartNumberingAfterBreak="0">
    <w:nsid w:val="2AC44DCD"/>
    <w:multiLevelType w:val="hybridMultilevel"/>
    <w:tmpl w:val="07A2403C"/>
    <w:lvl w:ilvl="0" w:tplc="E5103A6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2CD475F8"/>
    <w:multiLevelType w:val="hybridMultilevel"/>
    <w:tmpl w:val="E0941B74"/>
    <w:lvl w:ilvl="0" w:tplc="C9344B40">
      <w:start w:val="1"/>
      <w:numFmt w:val="bullet"/>
      <w:pStyle w:val="AufzhlungStriche"/>
      <w:lvlText w:val=""/>
      <w:lvlJc w:val="left"/>
      <w:pPr>
        <w:ind w:left="96" w:hanging="360"/>
      </w:pPr>
      <w:rPr>
        <w:rFonts w:ascii="Symbol" w:hAnsi="Symbol" w:hint="default"/>
      </w:rPr>
    </w:lvl>
    <w:lvl w:ilvl="1" w:tplc="08070003">
      <w:start w:val="1"/>
      <w:numFmt w:val="bullet"/>
      <w:lvlText w:val="o"/>
      <w:lvlJc w:val="left"/>
      <w:pPr>
        <w:ind w:left="816" w:hanging="360"/>
      </w:pPr>
      <w:rPr>
        <w:rFonts w:ascii="Courier New" w:hAnsi="Courier New" w:cs="Courier New" w:hint="default"/>
      </w:rPr>
    </w:lvl>
    <w:lvl w:ilvl="2" w:tplc="08070005" w:tentative="1">
      <w:start w:val="1"/>
      <w:numFmt w:val="bullet"/>
      <w:lvlText w:val=""/>
      <w:lvlJc w:val="left"/>
      <w:pPr>
        <w:ind w:left="1536" w:hanging="360"/>
      </w:pPr>
      <w:rPr>
        <w:rFonts w:ascii="Wingdings" w:hAnsi="Wingdings" w:hint="default"/>
      </w:rPr>
    </w:lvl>
    <w:lvl w:ilvl="3" w:tplc="08070001" w:tentative="1">
      <w:start w:val="1"/>
      <w:numFmt w:val="bullet"/>
      <w:lvlText w:val=""/>
      <w:lvlJc w:val="left"/>
      <w:pPr>
        <w:ind w:left="2256" w:hanging="360"/>
      </w:pPr>
      <w:rPr>
        <w:rFonts w:ascii="Symbol" w:hAnsi="Symbol" w:hint="default"/>
      </w:rPr>
    </w:lvl>
    <w:lvl w:ilvl="4" w:tplc="08070003" w:tentative="1">
      <w:start w:val="1"/>
      <w:numFmt w:val="bullet"/>
      <w:lvlText w:val="o"/>
      <w:lvlJc w:val="left"/>
      <w:pPr>
        <w:ind w:left="2976" w:hanging="360"/>
      </w:pPr>
      <w:rPr>
        <w:rFonts w:ascii="Courier New" w:hAnsi="Courier New" w:cs="Courier New" w:hint="default"/>
      </w:rPr>
    </w:lvl>
    <w:lvl w:ilvl="5" w:tplc="08070005" w:tentative="1">
      <w:start w:val="1"/>
      <w:numFmt w:val="bullet"/>
      <w:lvlText w:val=""/>
      <w:lvlJc w:val="left"/>
      <w:pPr>
        <w:ind w:left="3696" w:hanging="360"/>
      </w:pPr>
      <w:rPr>
        <w:rFonts w:ascii="Wingdings" w:hAnsi="Wingdings" w:hint="default"/>
      </w:rPr>
    </w:lvl>
    <w:lvl w:ilvl="6" w:tplc="08070001" w:tentative="1">
      <w:start w:val="1"/>
      <w:numFmt w:val="bullet"/>
      <w:lvlText w:val=""/>
      <w:lvlJc w:val="left"/>
      <w:pPr>
        <w:ind w:left="4416" w:hanging="360"/>
      </w:pPr>
      <w:rPr>
        <w:rFonts w:ascii="Symbol" w:hAnsi="Symbol" w:hint="default"/>
      </w:rPr>
    </w:lvl>
    <w:lvl w:ilvl="7" w:tplc="08070003" w:tentative="1">
      <w:start w:val="1"/>
      <w:numFmt w:val="bullet"/>
      <w:lvlText w:val="o"/>
      <w:lvlJc w:val="left"/>
      <w:pPr>
        <w:ind w:left="5136" w:hanging="360"/>
      </w:pPr>
      <w:rPr>
        <w:rFonts w:ascii="Courier New" w:hAnsi="Courier New" w:cs="Courier New" w:hint="default"/>
      </w:rPr>
    </w:lvl>
    <w:lvl w:ilvl="8" w:tplc="08070005" w:tentative="1">
      <w:start w:val="1"/>
      <w:numFmt w:val="bullet"/>
      <w:lvlText w:val=""/>
      <w:lvlJc w:val="left"/>
      <w:pPr>
        <w:ind w:left="5856" w:hanging="360"/>
      </w:pPr>
      <w:rPr>
        <w:rFonts w:ascii="Wingdings" w:hAnsi="Wingdings" w:hint="default"/>
      </w:rPr>
    </w:lvl>
  </w:abstractNum>
  <w:abstractNum w:abstractNumId="14" w15:restartNumberingAfterBreak="0">
    <w:nsid w:val="2FC27441"/>
    <w:multiLevelType w:val="hybridMultilevel"/>
    <w:tmpl w:val="A662962E"/>
    <w:lvl w:ilvl="0" w:tplc="FFFFFFFF">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33477112"/>
    <w:multiLevelType w:val="hybridMultilevel"/>
    <w:tmpl w:val="2A28B92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33573B96"/>
    <w:multiLevelType w:val="hybridMultilevel"/>
    <w:tmpl w:val="EFFAF7E2"/>
    <w:lvl w:ilvl="0" w:tplc="7C2AE620">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818341A"/>
    <w:multiLevelType w:val="hybridMultilevel"/>
    <w:tmpl w:val="07A240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E1F6C1E"/>
    <w:multiLevelType w:val="hybridMultilevel"/>
    <w:tmpl w:val="08B20B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2520D0E"/>
    <w:multiLevelType w:val="hybridMultilevel"/>
    <w:tmpl w:val="A662962E"/>
    <w:lvl w:ilvl="0" w:tplc="0E400DE6">
      <w:start w:val="1"/>
      <w:numFmt w:val="lowerLetter"/>
      <w:lvlText w:val="%1)"/>
      <w:lvlJc w:val="left"/>
      <w:pPr>
        <w:ind w:left="704" w:hanging="42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0" w15:restartNumberingAfterBreak="0">
    <w:nsid w:val="4ED9265C"/>
    <w:multiLevelType w:val="hybridMultilevel"/>
    <w:tmpl w:val="F350F73A"/>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1" w15:restartNumberingAfterBreak="0">
    <w:nsid w:val="563867BE"/>
    <w:multiLevelType w:val="hybridMultilevel"/>
    <w:tmpl w:val="3D7069F4"/>
    <w:lvl w:ilvl="0" w:tplc="9670CE20">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C974D4F"/>
    <w:multiLevelType w:val="hybridMultilevel"/>
    <w:tmpl w:val="719620BA"/>
    <w:lvl w:ilvl="0" w:tplc="B86C7C7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5E0417A7"/>
    <w:multiLevelType w:val="hybridMultilevel"/>
    <w:tmpl w:val="33387C96"/>
    <w:lvl w:ilvl="0" w:tplc="B86C9BE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25E7895"/>
    <w:multiLevelType w:val="hybridMultilevel"/>
    <w:tmpl w:val="16E846FA"/>
    <w:lvl w:ilvl="0" w:tplc="754204D0">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ACB308A"/>
    <w:multiLevelType w:val="hybridMultilevel"/>
    <w:tmpl w:val="D9A87C40"/>
    <w:lvl w:ilvl="0" w:tplc="B86C7C7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6F3B6CF4"/>
    <w:multiLevelType w:val="hybridMultilevel"/>
    <w:tmpl w:val="5BB48B32"/>
    <w:lvl w:ilvl="0" w:tplc="B86C7C7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71465508"/>
    <w:multiLevelType w:val="multilevel"/>
    <w:tmpl w:val="FC7475C2"/>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15B79C9"/>
    <w:multiLevelType w:val="hybridMultilevel"/>
    <w:tmpl w:val="EBDCED74"/>
    <w:lvl w:ilvl="0" w:tplc="59CA126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7ADA5248"/>
    <w:multiLevelType w:val="hybridMultilevel"/>
    <w:tmpl w:val="305C8712"/>
    <w:lvl w:ilvl="0" w:tplc="AB7EA428">
      <w:start w:val="4"/>
      <w:numFmt w:val="bullet"/>
      <w:lvlText w:val="-"/>
      <w:lvlJc w:val="left"/>
      <w:pPr>
        <w:ind w:left="930" w:hanging="360"/>
      </w:pPr>
      <w:rPr>
        <w:rFonts w:ascii="Times New Roman" w:eastAsiaTheme="minorHAnsi" w:hAnsi="Times New Roman" w:cs="Times New Roman" w:hint="default"/>
      </w:rPr>
    </w:lvl>
    <w:lvl w:ilvl="1" w:tplc="08070003" w:tentative="1">
      <w:start w:val="1"/>
      <w:numFmt w:val="bullet"/>
      <w:lvlText w:val="o"/>
      <w:lvlJc w:val="left"/>
      <w:pPr>
        <w:ind w:left="1650" w:hanging="360"/>
      </w:pPr>
      <w:rPr>
        <w:rFonts w:ascii="Courier New" w:hAnsi="Courier New" w:cs="Courier New" w:hint="default"/>
      </w:rPr>
    </w:lvl>
    <w:lvl w:ilvl="2" w:tplc="08070005" w:tentative="1">
      <w:start w:val="1"/>
      <w:numFmt w:val="bullet"/>
      <w:lvlText w:val=""/>
      <w:lvlJc w:val="left"/>
      <w:pPr>
        <w:ind w:left="2370" w:hanging="360"/>
      </w:pPr>
      <w:rPr>
        <w:rFonts w:ascii="Wingdings" w:hAnsi="Wingdings" w:hint="default"/>
      </w:rPr>
    </w:lvl>
    <w:lvl w:ilvl="3" w:tplc="08070001" w:tentative="1">
      <w:start w:val="1"/>
      <w:numFmt w:val="bullet"/>
      <w:lvlText w:val=""/>
      <w:lvlJc w:val="left"/>
      <w:pPr>
        <w:ind w:left="3090" w:hanging="360"/>
      </w:pPr>
      <w:rPr>
        <w:rFonts w:ascii="Symbol" w:hAnsi="Symbol" w:hint="default"/>
      </w:rPr>
    </w:lvl>
    <w:lvl w:ilvl="4" w:tplc="08070003" w:tentative="1">
      <w:start w:val="1"/>
      <w:numFmt w:val="bullet"/>
      <w:lvlText w:val="o"/>
      <w:lvlJc w:val="left"/>
      <w:pPr>
        <w:ind w:left="3810" w:hanging="360"/>
      </w:pPr>
      <w:rPr>
        <w:rFonts w:ascii="Courier New" w:hAnsi="Courier New" w:cs="Courier New" w:hint="default"/>
      </w:rPr>
    </w:lvl>
    <w:lvl w:ilvl="5" w:tplc="08070005" w:tentative="1">
      <w:start w:val="1"/>
      <w:numFmt w:val="bullet"/>
      <w:lvlText w:val=""/>
      <w:lvlJc w:val="left"/>
      <w:pPr>
        <w:ind w:left="4530" w:hanging="360"/>
      </w:pPr>
      <w:rPr>
        <w:rFonts w:ascii="Wingdings" w:hAnsi="Wingdings" w:hint="default"/>
      </w:rPr>
    </w:lvl>
    <w:lvl w:ilvl="6" w:tplc="08070001" w:tentative="1">
      <w:start w:val="1"/>
      <w:numFmt w:val="bullet"/>
      <w:lvlText w:val=""/>
      <w:lvlJc w:val="left"/>
      <w:pPr>
        <w:ind w:left="5250" w:hanging="360"/>
      </w:pPr>
      <w:rPr>
        <w:rFonts w:ascii="Symbol" w:hAnsi="Symbol" w:hint="default"/>
      </w:rPr>
    </w:lvl>
    <w:lvl w:ilvl="7" w:tplc="08070003" w:tentative="1">
      <w:start w:val="1"/>
      <w:numFmt w:val="bullet"/>
      <w:lvlText w:val="o"/>
      <w:lvlJc w:val="left"/>
      <w:pPr>
        <w:ind w:left="5970" w:hanging="360"/>
      </w:pPr>
      <w:rPr>
        <w:rFonts w:ascii="Courier New" w:hAnsi="Courier New" w:cs="Courier New" w:hint="default"/>
      </w:rPr>
    </w:lvl>
    <w:lvl w:ilvl="8" w:tplc="08070005" w:tentative="1">
      <w:start w:val="1"/>
      <w:numFmt w:val="bullet"/>
      <w:lvlText w:val=""/>
      <w:lvlJc w:val="left"/>
      <w:pPr>
        <w:ind w:left="6690" w:hanging="360"/>
      </w:pPr>
      <w:rPr>
        <w:rFonts w:ascii="Wingdings" w:hAnsi="Wingdings" w:hint="default"/>
      </w:rPr>
    </w:lvl>
  </w:abstractNum>
  <w:abstractNum w:abstractNumId="30" w15:restartNumberingAfterBreak="0">
    <w:nsid w:val="7B7E5587"/>
    <w:multiLevelType w:val="hybridMultilevel"/>
    <w:tmpl w:val="7CD8CF64"/>
    <w:lvl w:ilvl="0" w:tplc="5E7E7F84">
      <w:numFmt w:val="bullet"/>
      <w:lvlText w:val="-"/>
      <w:lvlJc w:val="left"/>
      <w:pPr>
        <w:ind w:left="420" w:hanging="360"/>
      </w:pPr>
      <w:rPr>
        <w:rFonts w:ascii="Arial" w:eastAsia="Times New Roman" w:hAnsi="Arial" w:cs="Arial" w:hint="default"/>
      </w:rPr>
    </w:lvl>
    <w:lvl w:ilvl="1" w:tplc="08070003">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31" w15:restartNumberingAfterBreak="0">
    <w:nsid w:val="7C117821"/>
    <w:multiLevelType w:val="multilevel"/>
    <w:tmpl w:val="D2DCDF36"/>
    <w:lvl w:ilvl="0">
      <w:start w:val="1"/>
      <w:numFmt w:val="upperRoman"/>
      <w:lvlText w:val="Anhang %1"/>
      <w:lvlJc w:val="left"/>
      <w:pPr>
        <w:tabs>
          <w:tab w:val="num" w:pos="180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F1A6BAF"/>
    <w:multiLevelType w:val="hybridMultilevel"/>
    <w:tmpl w:val="C76E57B0"/>
    <w:lvl w:ilvl="0" w:tplc="B86C7C7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7F565249"/>
    <w:multiLevelType w:val="hybridMultilevel"/>
    <w:tmpl w:val="06845BF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37181014">
    <w:abstractNumId w:val="27"/>
  </w:num>
  <w:num w:numId="2" w16cid:durableId="455411859">
    <w:abstractNumId w:val="7"/>
  </w:num>
  <w:num w:numId="3" w16cid:durableId="1231035633">
    <w:abstractNumId w:val="13"/>
  </w:num>
  <w:num w:numId="4" w16cid:durableId="956520572">
    <w:abstractNumId w:val="4"/>
  </w:num>
  <w:num w:numId="5" w16cid:durableId="794568362">
    <w:abstractNumId w:val="31"/>
  </w:num>
  <w:num w:numId="6" w16cid:durableId="726882019">
    <w:abstractNumId w:val="7"/>
  </w:num>
  <w:num w:numId="7" w16cid:durableId="1799376018">
    <w:abstractNumId w:val="7"/>
  </w:num>
  <w:num w:numId="8" w16cid:durableId="599143421">
    <w:abstractNumId w:val="7"/>
  </w:num>
  <w:num w:numId="9" w16cid:durableId="1451975605">
    <w:abstractNumId w:val="7"/>
  </w:num>
  <w:num w:numId="10" w16cid:durableId="804547874">
    <w:abstractNumId w:val="7"/>
  </w:num>
  <w:num w:numId="11" w16cid:durableId="1455246102">
    <w:abstractNumId w:val="4"/>
  </w:num>
  <w:num w:numId="12" w16cid:durableId="1451511233">
    <w:abstractNumId w:val="4"/>
  </w:num>
  <w:num w:numId="13" w16cid:durableId="1049378996">
    <w:abstractNumId w:val="4"/>
  </w:num>
  <w:num w:numId="14" w16cid:durableId="960303381">
    <w:abstractNumId w:val="21"/>
  </w:num>
  <w:num w:numId="15" w16cid:durableId="127095066">
    <w:abstractNumId w:val="29"/>
  </w:num>
  <w:num w:numId="16" w16cid:durableId="1416509782">
    <w:abstractNumId w:val="11"/>
  </w:num>
  <w:num w:numId="17" w16cid:durableId="2040159469">
    <w:abstractNumId w:val="18"/>
  </w:num>
  <w:num w:numId="18" w16cid:durableId="1733307071">
    <w:abstractNumId w:val="22"/>
  </w:num>
  <w:num w:numId="19" w16cid:durableId="1349720339">
    <w:abstractNumId w:val="30"/>
  </w:num>
  <w:num w:numId="20" w16cid:durableId="953680610">
    <w:abstractNumId w:val="2"/>
  </w:num>
  <w:num w:numId="21" w16cid:durableId="121507861">
    <w:abstractNumId w:val="28"/>
  </w:num>
  <w:num w:numId="22" w16cid:durableId="1958876701">
    <w:abstractNumId w:val="25"/>
  </w:num>
  <w:num w:numId="23" w16cid:durableId="747076006">
    <w:abstractNumId w:val="32"/>
  </w:num>
  <w:num w:numId="24" w16cid:durableId="2035381932">
    <w:abstractNumId w:val="24"/>
  </w:num>
  <w:num w:numId="25" w16cid:durableId="380251315">
    <w:abstractNumId w:val="33"/>
  </w:num>
  <w:num w:numId="26" w16cid:durableId="228543297">
    <w:abstractNumId w:val="26"/>
  </w:num>
  <w:num w:numId="27" w16cid:durableId="1570573106">
    <w:abstractNumId w:val="9"/>
  </w:num>
  <w:num w:numId="28" w16cid:durableId="1708799444">
    <w:abstractNumId w:val="15"/>
  </w:num>
  <w:num w:numId="29" w16cid:durableId="84497745">
    <w:abstractNumId w:val="3"/>
  </w:num>
  <w:num w:numId="30" w16cid:durableId="864371557">
    <w:abstractNumId w:val="1"/>
  </w:num>
  <w:num w:numId="31" w16cid:durableId="18999732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3617896">
    <w:abstractNumId w:val="16"/>
  </w:num>
  <w:num w:numId="33" w16cid:durableId="2069768818">
    <w:abstractNumId w:val="0"/>
  </w:num>
  <w:num w:numId="34" w16cid:durableId="429854126">
    <w:abstractNumId w:val="10"/>
  </w:num>
  <w:num w:numId="35" w16cid:durableId="41294006">
    <w:abstractNumId w:val="20"/>
  </w:num>
  <w:num w:numId="36" w16cid:durableId="1408917870">
    <w:abstractNumId w:val="8"/>
  </w:num>
  <w:num w:numId="37" w16cid:durableId="1189224546">
    <w:abstractNumId w:val="12"/>
  </w:num>
  <w:num w:numId="38" w16cid:durableId="838040621">
    <w:abstractNumId w:val="19"/>
  </w:num>
  <w:num w:numId="39" w16cid:durableId="511258115">
    <w:abstractNumId w:val="17"/>
  </w:num>
  <w:num w:numId="40" w16cid:durableId="814832487">
    <w:abstractNumId w:val="5"/>
  </w:num>
  <w:num w:numId="41" w16cid:durableId="998651746">
    <w:abstractNumId w:val="14"/>
  </w:num>
  <w:num w:numId="42" w16cid:durableId="1604532538">
    <w:abstractNumId w:val="6"/>
  </w:num>
  <w:num w:numId="43" w16cid:durableId="6112788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14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5E"/>
    <w:rsid w:val="0000013F"/>
    <w:rsid w:val="00000AE7"/>
    <w:rsid w:val="00000B7A"/>
    <w:rsid w:val="0000138F"/>
    <w:rsid w:val="00002409"/>
    <w:rsid w:val="00004750"/>
    <w:rsid w:val="00004C80"/>
    <w:rsid w:val="000053DE"/>
    <w:rsid w:val="000111B0"/>
    <w:rsid w:val="00021609"/>
    <w:rsid w:val="000240F3"/>
    <w:rsid w:val="00025D77"/>
    <w:rsid w:val="0003013D"/>
    <w:rsid w:val="00033496"/>
    <w:rsid w:val="00035430"/>
    <w:rsid w:val="0003715E"/>
    <w:rsid w:val="00041F38"/>
    <w:rsid w:val="000441D0"/>
    <w:rsid w:val="00045B3C"/>
    <w:rsid w:val="00046C26"/>
    <w:rsid w:val="000511DB"/>
    <w:rsid w:val="00051A0A"/>
    <w:rsid w:val="000549E0"/>
    <w:rsid w:val="00063176"/>
    <w:rsid w:val="00064F10"/>
    <w:rsid w:val="00066F15"/>
    <w:rsid w:val="00070364"/>
    <w:rsid w:val="00075985"/>
    <w:rsid w:val="00081D15"/>
    <w:rsid w:val="0008251B"/>
    <w:rsid w:val="00083440"/>
    <w:rsid w:val="00083782"/>
    <w:rsid w:val="000873EB"/>
    <w:rsid w:val="00090E01"/>
    <w:rsid w:val="000910DE"/>
    <w:rsid w:val="00091631"/>
    <w:rsid w:val="000947E4"/>
    <w:rsid w:val="00095F7C"/>
    <w:rsid w:val="000A1DD9"/>
    <w:rsid w:val="000A24B3"/>
    <w:rsid w:val="000A4823"/>
    <w:rsid w:val="000A5DE2"/>
    <w:rsid w:val="000B2D4A"/>
    <w:rsid w:val="000B3025"/>
    <w:rsid w:val="000B57C2"/>
    <w:rsid w:val="000C0246"/>
    <w:rsid w:val="000C0D49"/>
    <w:rsid w:val="000C6F12"/>
    <w:rsid w:val="000C7C08"/>
    <w:rsid w:val="000D5C6C"/>
    <w:rsid w:val="000D5E20"/>
    <w:rsid w:val="000E0090"/>
    <w:rsid w:val="000E6160"/>
    <w:rsid w:val="000E6AD1"/>
    <w:rsid w:val="000E7D70"/>
    <w:rsid w:val="000F1771"/>
    <w:rsid w:val="000F38BD"/>
    <w:rsid w:val="000F517B"/>
    <w:rsid w:val="00115042"/>
    <w:rsid w:val="00116419"/>
    <w:rsid w:val="0011675B"/>
    <w:rsid w:val="00124E61"/>
    <w:rsid w:val="001262E8"/>
    <w:rsid w:val="001306B2"/>
    <w:rsid w:val="00135423"/>
    <w:rsid w:val="00136840"/>
    <w:rsid w:val="001406E8"/>
    <w:rsid w:val="00143A84"/>
    <w:rsid w:val="00143D2C"/>
    <w:rsid w:val="001534A1"/>
    <w:rsid w:val="00154833"/>
    <w:rsid w:val="0015578B"/>
    <w:rsid w:val="00155F0A"/>
    <w:rsid w:val="001565F0"/>
    <w:rsid w:val="00160485"/>
    <w:rsid w:val="001627F0"/>
    <w:rsid w:val="001659B3"/>
    <w:rsid w:val="001715C1"/>
    <w:rsid w:val="00174BEE"/>
    <w:rsid w:val="00176614"/>
    <w:rsid w:val="00176F27"/>
    <w:rsid w:val="0017745D"/>
    <w:rsid w:val="00177D18"/>
    <w:rsid w:val="00180D82"/>
    <w:rsid w:val="00180DA3"/>
    <w:rsid w:val="00181687"/>
    <w:rsid w:val="00184CFA"/>
    <w:rsid w:val="00186D3E"/>
    <w:rsid w:val="001874B9"/>
    <w:rsid w:val="00192D3C"/>
    <w:rsid w:val="001940F5"/>
    <w:rsid w:val="0019475E"/>
    <w:rsid w:val="001A16C0"/>
    <w:rsid w:val="001A1E0E"/>
    <w:rsid w:val="001A2B78"/>
    <w:rsid w:val="001A2C1C"/>
    <w:rsid w:val="001A3C54"/>
    <w:rsid w:val="001A6339"/>
    <w:rsid w:val="001B220C"/>
    <w:rsid w:val="001B2749"/>
    <w:rsid w:val="001B3935"/>
    <w:rsid w:val="001B4246"/>
    <w:rsid w:val="001B4549"/>
    <w:rsid w:val="001C2936"/>
    <w:rsid w:val="001C47CA"/>
    <w:rsid w:val="001C4866"/>
    <w:rsid w:val="001D1901"/>
    <w:rsid w:val="001D399F"/>
    <w:rsid w:val="001D5532"/>
    <w:rsid w:val="001D6BB3"/>
    <w:rsid w:val="001E237D"/>
    <w:rsid w:val="001E5AB0"/>
    <w:rsid w:val="001E642E"/>
    <w:rsid w:val="001F3907"/>
    <w:rsid w:val="001F3BE0"/>
    <w:rsid w:val="001F7C11"/>
    <w:rsid w:val="0020176F"/>
    <w:rsid w:val="00202B39"/>
    <w:rsid w:val="00202D5E"/>
    <w:rsid w:val="002126CB"/>
    <w:rsid w:val="00220D2D"/>
    <w:rsid w:val="0022207E"/>
    <w:rsid w:val="00223083"/>
    <w:rsid w:val="0022357E"/>
    <w:rsid w:val="00223610"/>
    <w:rsid w:val="00231073"/>
    <w:rsid w:val="00233FCD"/>
    <w:rsid w:val="00234C76"/>
    <w:rsid w:val="00240688"/>
    <w:rsid w:val="00241C26"/>
    <w:rsid w:val="00242ECD"/>
    <w:rsid w:val="00254CB6"/>
    <w:rsid w:val="00255247"/>
    <w:rsid w:val="00256C79"/>
    <w:rsid w:val="00257167"/>
    <w:rsid w:val="00257A1A"/>
    <w:rsid w:val="00260011"/>
    <w:rsid w:val="002613BD"/>
    <w:rsid w:val="002729C9"/>
    <w:rsid w:val="0027339E"/>
    <w:rsid w:val="00273F82"/>
    <w:rsid w:val="0027609D"/>
    <w:rsid w:val="00277CC8"/>
    <w:rsid w:val="002869FB"/>
    <w:rsid w:val="00287278"/>
    <w:rsid w:val="00292D6D"/>
    <w:rsid w:val="00295F84"/>
    <w:rsid w:val="002B01F7"/>
    <w:rsid w:val="002B0E66"/>
    <w:rsid w:val="002B2957"/>
    <w:rsid w:val="002B2E88"/>
    <w:rsid w:val="002C7493"/>
    <w:rsid w:val="002D1425"/>
    <w:rsid w:val="002D5FD2"/>
    <w:rsid w:val="002E05C8"/>
    <w:rsid w:val="002E17A9"/>
    <w:rsid w:val="002F06CC"/>
    <w:rsid w:val="002F30D4"/>
    <w:rsid w:val="00300D1C"/>
    <w:rsid w:val="003016E1"/>
    <w:rsid w:val="00301770"/>
    <w:rsid w:val="00301AA1"/>
    <w:rsid w:val="00302C68"/>
    <w:rsid w:val="003034BF"/>
    <w:rsid w:val="0031253E"/>
    <w:rsid w:val="003132CA"/>
    <w:rsid w:val="003147BD"/>
    <w:rsid w:val="00316922"/>
    <w:rsid w:val="00316BED"/>
    <w:rsid w:val="00320072"/>
    <w:rsid w:val="00320E3C"/>
    <w:rsid w:val="00323CEA"/>
    <w:rsid w:val="00324E1D"/>
    <w:rsid w:val="003264A0"/>
    <w:rsid w:val="00331CC6"/>
    <w:rsid w:val="003337FE"/>
    <w:rsid w:val="003345B0"/>
    <w:rsid w:val="0033699B"/>
    <w:rsid w:val="0033772E"/>
    <w:rsid w:val="00340368"/>
    <w:rsid w:val="00343F70"/>
    <w:rsid w:val="00345474"/>
    <w:rsid w:val="003524F9"/>
    <w:rsid w:val="003528BA"/>
    <w:rsid w:val="00352F83"/>
    <w:rsid w:val="00361252"/>
    <w:rsid w:val="00361BF9"/>
    <w:rsid w:val="003643EC"/>
    <w:rsid w:val="00364809"/>
    <w:rsid w:val="00367F86"/>
    <w:rsid w:val="00370A0F"/>
    <w:rsid w:val="00372239"/>
    <w:rsid w:val="0037357A"/>
    <w:rsid w:val="00373760"/>
    <w:rsid w:val="00373B7D"/>
    <w:rsid w:val="00376165"/>
    <w:rsid w:val="003770BC"/>
    <w:rsid w:val="00382F50"/>
    <w:rsid w:val="00384F8D"/>
    <w:rsid w:val="003914D6"/>
    <w:rsid w:val="0039599A"/>
    <w:rsid w:val="00396211"/>
    <w:rsid w:val="003967F5"/>
    <w:rsid w:val="003A3762"/>
    <w:rsid w:val="003B0379"/>
    <w:rsid w:val="003B2A2B"/>
    <w:rsid w:val="003B675C"/>
    <w:rsid w:val="003B6A94"/>
    <w:rsid w:val="003B7DE2"/>
    <w:rsid w:val="003C1249"/>
    <w:rsid w:val="003C2198"/>
    <w:rsid w:val="003C2439"/>
    <w:rsid w:val="003C295A"/>
    <w:rsid w:val="003C3B13"/>
    <w:rsid w:val="003C47ED"/>
    <w:rsid w:val="003D0ACF"/>
    <w:rsid w:val="003D2AAC"/>
    <w:rsid w:val="003D3A9E"/>
    <w:rsid w:val="003D4608"/>
    <w:rsid w:val="003D6941"/>
    <w:rsid w:val="003D72E2"/>
    <w:rsid w:val="003E04E7"/>
    <w:rsid w:val="003E26B1"/>
    <w:rsid w:val="003F3F55"/>
    <w:rsid w:val="003F544F"/>
    <w:rsid w:val="003F5BAF"/>
    <w:rsid w:val="003F7D52"/>
    <w:rsid w:val="0040318E"/>
    <w:rsid w:val="00403BE9"/>
    <w:rsid w:val="004045D3"/>
    <w:rsid w:val="00411478"/>
    <w:rsid w:val="0042178E"/>
    <w:rsid w:val="004218E7"/>
    <w:rsid w:val="0042479C"/>
    <w:rsid w:val="00427093"/>
    <w:rsid w:val="00435A23"/>
    <w:rsid w:val="00436738"/>
    <w:rsid w:val="00436BD2"/>
    <w:rsid w:val="00437C83"/>
    <w:rsid w:val="0044209B"/>
    <w:rsid w:val="0044229E"/>
    <w:rsid w:val="0044481E"/>
    <w:rsid w:val="00447704"/>
    <w:rsid w:val="004512B1"/>
    <w:rsid w:val="004515A0"/>
    <w:rsid w:val="00456FDF"/>
    <w:rsid w:val="00457340"/>
    <w:rsid w:val="00463BF6"/>
    <w:rsid w:val="004667EC"/>
    <w:rsid w:val="00467BD3"/>
    <w:rsid w:val="004737E0"/>
    <w:rsid w:val="00474A90"/>
    <w:rsid w:val="0048592B"/>
    <w:rsid w:val="00494D87"/>
    <w:rsid w:val="00494EE0"/>
    <w:rsid w:val="00495C99"/>
    <w:rsid w:val="004A1871"/>
    <w:rsid w:val="004A625C"/>
    <w:rsid w:val="004A6924"/>
    <w:rsid w:val="004B3758"/>
    <w:rsid w:val="004B591E"/>
    <w:rsid w:val="004B7F13"/>
    <w:rsid w:val="004D1F5B"/>
    <w:rsid w:val="004D22A5"/>
    <w:rsid w:val="004D3B23"/>
    <w:rsid w:val="004D6C91"/>
    <w:rsid w:val="004D76A1"/>
    <w:rsid w:val="004E159D"/>
    <w:rsid w:val="004E236D"/>
    <w:rsid w:val="004E7343"/>
    <w:rsid w:val="004F0728"/>
    <w:rsid w:val="004F072A"/>
    <w:rsid w:val="004F503D"/>
    <w:rsid w:val="004F74FF"/>
    <w:rsid w:val="00503654"/>
    <w:rsid w:val="00514162"/>
    <w:rsid w:val="00522EEE"/>
    <w:rsid w:val="00523637"/>
    <w:rsid w:val="00525854"/>
    <w:rsid w:val="005259F3"/>
    <w:rsid w:val="00526DBD"/>
    <w:rsid w:val="0052710F"/>
    <w:rsid w:val="005278C3"/>
    <w:rsid w:val="005307BE"/>
    <w:rsid w:val="00532CE8"/>
    <w:rsid w:val="005342E8"/>
    <w:rsid w:val="00535BE7"/>
    <w:rsid w:val="005366D1"/>
    <w:rsid w:val="00536819"/>
    <w:rsid w:val="00536DD4"/>
    <w:rsid w:val="00544410"/>
    <w:rsid w:val="00545538"/>
    <w:rsid w:val="00547E9B"/>
    <w:rsid w:val="00553BF3"/>
    <w:rsid w:val="00564D07"/>
    <w:rsid w:val="00566A08"/>
    <w:rsid w:val="00571847"/>
    <w:rsid w:val="00574746"/>
    <w:rsid w:val="005812C9"/>
    <w:rsid w:val="005871F4"/>
    <w:rsid w:val="005A0CEA"/>
    <w:rsid w:val="005A2EB2"/>
    <w:rsid w:val="005A4889"/>
    <w:rsid w:val="005A5EC6"/>
    <w:rsid w:val="005A7112"/>
    <w:rsid w:val="005B2571"/>
    <w:rsid w:val="005B3A74"/>
    <w:rsid w:val="005B5C63"/>
    <w:rsid w:val="005C0C84"/>
    <w:rsid w:val="005C2716"/>
    <w:rsid w:val="005D00A2"/>
    <w:rsid w:val="005D3A71"/>
    <w:rsid w:val="005D6DFF"/>
    <w:rsid w:val="005E1F55"/>
    <w:rsid w:val="005E2AB1"/>
    <w:rsid w:val="005F1CE3"/>
    <w:rsid w:val="005F3D81"/>
    <w:rsid w:val="00602E9D"/>
    <w:rsid w:val="0060358B"/>
    <w:rsid w:val="0060488C"/>
    <w:rsid w:val="00605B45"/>
    <w:rsid w:val="006076EB"/>
    <w:rsid w:val="00613192"/>
    <w:rsid w:val="00614090"/>
    <w:rsid w:val="006158BF"/>
    <w:rsid w:val="00620732"/>
    <w:rsid w:val="00625263"/>
    <w:rsid w:val="0062556F"/>
    <w:rsid w:val="00627875"/>
    <w:rsid w:val="0064139B"/>
    <w:rsid w:val="00641902"/>
    <w:rsid w:val="00642071"/>
    <w:rsid w:val="00642CB1"/>
    <w:rsid w:val="00647340"/>
    <w:rsid w:val="00651E87"/>
    <w:rsid w:val="00656F88"/>
    <w:rsid w:val="006579AF"/>
    <w:rsid w:val="0066109F"/>
    <w:rsid w:val="00665AC0"/>
    <w:rsid w:val="00672F7B"/>
    <w:rsid w:val="0067752F"/>
    <w:rsid w:val="0068065E"/>
    <w:rsid w:val="00680852"/>
    <w:rsid w:val="00686260"/>
    <w:rsid w:val="006A4C99"/>
    <w:rsid w:val="006A5A66"/>
    <w:rsid w:val="006A60A3"/>
    <w:rsid w:val="006B1259"/>
    <w:rsid w:val="006B1B76"/>
    <w:rsid w:val="006B2947"/>
    <w:rsid w:val="006B60CF"/>
    <w:rsid w:val="006B6DA7"/>
    <w:rsid w:val="006B7C85"/>
    <w:rsid w:val="006C07F7"/>
    <w:rsid w:val="006C0A10"/>
    <w:rsid w:val="006C0DEE"/>
    <w:rsid w:val="006C2F1D"/>
    <w:rsid w:val="006C33A8"/>
    <w:rsid w:val="006D0AEB"/>
    <w:rsid w:val="006D384E"/>
    <w:rsid w:val="006D5A56"/>
    <w:rsid w:val="006D630D"/>
    <w:rsid w:val="006F1980"/>
    <w:rsid w:val="006F582B"/>
    <w:rsid w:val="006F68E4"/>
    <w:rsid w:val="006F6E20"/>
    <w:rsid w:val="00700B3E"/>
    <w:rsid w:val="00702DE0"/>
    <w:rsid w:val="00706024"/>
    <w:rsid w:val="00706D1F"/>
    <w:rsid w:val="00711723"/>
    <w:rsid w:val="007129C2"/>
    <w:rsid w:val="007164B1"/>
    <w:rsid w:val="0072583D"/>
    <w:rsid w:val="007271FA"/>
    <w:rsid w:val="007346AE"/>
    <w:rsid w:val="00740213"/>
    <w:rsid w:val="00740B63"/>
    <w:rsid w:val="007518A3"/>
    <w:rsid w:val="007565B3"/>
    <w:rsid w:val="007578CE"/>
    <w:rsid w:val="00761C4F"/>
    <w:rsid w:val="00761FF0"/>
    <w:rsid w:val="00764058"/>
    <w:rsid w:val="00772D0C"/>
    <w:rsid w:val="0077460D"/>
    <w:rsid w:val="00775C3F"/>
    <w:rsid w:val="00781321"/>
    <w:rsid w:val="00782E7A"/>
    <w:rsid w:val="00784321"/>
    <w:rsid w:val="007859A9"/>
    <w:rsid w:val="00785DB8"/>
    <w:rsid w:val="00792F14"/>
    <w:rsid w:val="007933D3"/>
    <w:rsid w:val="00797EFA"/>
    <w:rsid w:val="007A1934"/>
    <w:rsid w:val="007A1A90"/>
    <w:rsid w:val="007A2A61"/>
    <w:rsid w:val="007A4149"/>
    <w:rsid w:val="007A54DC"/>
    <w:rsid w:val="007B1064"/>
    <w:rsid w:val="007B5179"/>
    <w:rsid w:val="007B55B6"/>
    <w:rsid w:val="007C48B5"/>
    <w:rsid w:val="007C73B0"/>
    <w:rsid w:val="007D27F3"/>
    <w:rsid w:val="007D54DC"/>
    <w:rsid w:val="007E5B2A"/>
    <w:rsid w:val="007E5C8B"/>
    <w:rsid w:val="007E6820"/>
    <w:rsid w:val="007E7C77"/>
    <w:rsid w:val="007F35A1"/>
    <w:rsid w:val="007F43A4"/>
    <w:rsid w:val="007F66DF"/>
    <w:rsid w:val="00800B1F"/>
    <w:rsid w:val="00810AAD"/>
    <w:rsid w:val="00811B3C"/>
    <w:rsid w:val="00812A1A"/>
    <w:rsid w:val="00813938"/>
    <w:rsid w:val="00813C5B"/>
    <w:rsid w:val="00815638"/>
    <w:rsid w:val="008179D2"/>
    <w:rsid w:val="008225AB"/>
    <w:rsid w:val="00822BC4"/>
    <w:rsid w:val="00824987"/>
    <w:rsid w:val="00825DBB"/>
    <w:rsid w:val="00826F42"/>
    <w:rsid w:val="00827954"/>
    <w:rsid w:val="0083169C"/>
    <w:rsid w:val="00831C23"/>
    <w:rsid w:val="008326A6"/>
    <w:rsid w:val="00834CB1"/>
    <w:rsid w:val="00835311"/>
    <w:rsid w:val="0083709E"/>
    <w:rsid w:val="00844AA6"/>
    <w:rsid w:val="00845372"/>
    <w:rsid w:val="00846532"/>
    <w:rsid w:val="00850D95"/>
    <w:rsid w:val="0085282F"/>
    <w:rsid w:val="00857EAF"/>
    <w:rsid w:val="00862A62"/>
    <w:rsid w:val="00864987"/>
    <w:rsid w:val="008659C0"/>
    <w:rsid w:val="008707D2"/>
    <w:rsid w:val="00870C62"/>
    <w:rsid w:val="00871F21"/>
    <w:rsid w:val="00875019"/>
    <w:rsid w:val="00875C9B"/>
    <w:rsid w:val="00876FB6"/>
    <w:rsid w:val="008772A4"/>
    <w:rsid w:val="00877DF2"/>
    <w:rsid w:val="00880B18"/>
    <w:rsid w:val="00881E2E"/>
    <w:rsid w:val="00891DDE"/>
    <w:rsid w:val="00894C3B"/>
    <w:rsid w:val="008954CF"/>
    <w:rsid w:val="00897E45"/>
    <w:rsid w:val="008A28EF"/>
    <w:rsid w:val="008A532A"/>
    <w:rsid w:val="008A605E"/>
    <w:rsid w:val="008A6747"/>
    <w:rsid w:val="008B0DD2"/>
    <w:rsid w:val="008B285A"/>
    <w:rsid w:val="008D296A"/>
    <w:rsid w:val="008D56EA"/>
    <w:rsid w:val="008E4307"/>
    <w:rsid w:val="008E453F"/>
    <w:rsid w:val="008F086A"/>
    <w:rsid w:val="008F0DC4"/>
    <w:rsid w:val="008F2113"/>
    <w:rsid w:val="008F5E5F"/>
    <w:rsid w:val="008F5EEE"/>
    <w:rsid w:val="008F60C6"/>
    <w:rsid w:val="00901DB9"/>
    <w:rsid w:val="009029CA"/>
    <w:rsid w:val="00904A67"/>
    <w:rsid w:val="00905FC0"/>
    <w:rsid w:val="0091441D"/>
    <w:rsid w:val="00920C30"/>
    <w:rsid w:val="00927881"/>
    <w:rsid w:val="009315B2"/>
    <w:rsid w:val="00935187"/>
    <w:rsid w:val="00935302"/>
    <w:rsid w:val="00935828"/>
    <w:rsid w:val="0094036B"/>
    <w:rsid w:val="00941646"/>
    <w:rsid w:val="00943ABB"/>
    <w:rsid w:val="00944C3D"/>
    <w:rsid w:val="00946403"/>
    <w:rsid w:val="0095004C"/>
    <w:rsid w:val="00951D5F"/>
    <w:rsid w:val="009539BF"/>
    <w:rsid w:val="009541E2"/>
    <w:rsid w:val="00960E9C"/>
    <w:rsid w:val="009716F0"/>
    <w:rsid w:val="00975981"/>
    <w:rsid w:val="00980466"/>
    <w:rsid w:val="00986AD9"/>
    <w:rsid w:val="009918F8"/>
    <w:rsid w:val="00995E0F"/>
    <w:rsid w:val="009966DE"/>
    <w:rsid w:val="0099714E"/>
    <w:rsid w:val="009A52BA"/>
    <w:rsid w:val="009B0770"/>
    <w:rsid w:val="009B0CC9"/>
    <w:rsid w:val="009B35B9"/>
    <w:rsid w:val="009B69CE"/>
    <w:rsid w:val="009C0861"/>
    <w:rsid w:val="009C0CF2"/>
    <w:rsid w:val="009D06D9"/>
    <w:rsid w:val="009D0D4F"/>
    <w:rsid w:val="009D25AD"/>
    <w:rsid w:val="009D334B"/>
    <w:rsid w:val="009D4B37"/>
    <w:rsid w:val="009D61B1"/>
    <w:rsid w:val="009E7E2D"/>
    <w:rsid w:val="009F1A53"/>
    <w:rsid w:val="009F49D3"/>
    <w:rsid w:val="009F4CD6"/>
    <w:rsid w:val="00A00454"/>
    <w:rsid w:val="00A01B21"/>
    <w:rsid w:val="00A04E40"/>
    <w:rsid w:val="00A05775"/>
    <w:rsid w:val="00A0748E"/>
    <w:rsid w:val="00A15F28"/>
    <w:rsid w:val="00A16E5E"/>
    <w:rsid w:val="00A17C0E"/>
    <w:rsid w:val="00A237F0"/>
    <w:rsid w:val="00A24AFD"/>
    <w:rsid w:val="00A30741"/>
    <w:rsid w:val="00A36DC4"/>
    <w:rsid w:val="00A41E72"/>
    <w:rsid w:val="00A428E2"/>
    <w:rsid w:val="00A428EC"/>
    <w:rsid w:val="00A4396F"/>
    <w:rsid w:val="00A56A0F"/>
    <w:rsid w:val="00A6085D"/>
    <w:rsid w:val="00A60B3B"/>
    <w:rsid w:val="00A61892"/>
    <w:rsid w:val="00A62FF4"/>
    <w:rsid w:val="00A63265"/>
    <w:rsid w:val="00A649C7"/>
    <w:rsid w:val="00A66E2B"/>
    <w:rsid w:val="00A7236A"/>
    <w:rsid w:val="00A74697"/>
    <w:rsid w:val="00A76DF1"/>
    <w:rsid w:val="00A77966"/>
    <w:rsid w:val="00A81124"/>
    <w:rsid w:val="00A82C44"/>
    <w:rsid w:val="00A8550D"/>
    <w:rsid w:val="00A972C6"/>
    <w:rsid w:val="00AA06CB"/>
    <w:rsid w:val="00AA0997"/>
    <w:rsid w:val="00AA23FE"/>
    <w:rsid w:val="00AA2C94"/>
    <w:rsid w:val="00AA4694"/>
    <w:rsid w:val="00AA7405"/>
    <w:rsid w:val="00AB1A37"/>
    <w:rsid w:val="00AB48D0"/>
    <w:rsid w:val="00AB6733"/>
    <w:rsid w:val="00AC2AE6"/>
    <w:rsid w:val="00AC5055"/>
    <w:rsid w:val="00AC641B"/>
    <w:rsid w:val="00AC7E61"/>
    <w:rsid w:val="00AD19A6"/>
    <w:rsid w:val="00AD2CFC"/>
    <w:rsid w:val="00AD52E3"/>
    <w:rsid w:val="00AD6866"/>
    <w:rsid w:val="00AE170D"/>
    <w:rsid w:val="00AE3308"/>
    <w:rsid w:val="00AE34EB"/>
    <w:rsid w:val="00AE728B"/>
    <w:rsid w:val="00B002F6"/>
    <w:rsid w:val="00B0593E"/>
    <w:rsid w:val="00B143DB"/>
    <w:rsid w:val="00B14DB6"/>
    <w:rsid w:val="00B155B4"/>
    <w:rsid w:val="00B16700"/>
    <w:rsid w:val="00B24223"/>
    <w:rsid w:val="00B25235"/>
    <w:rsid w:val="00B301AA"/>
    <w:rsid w:val="00B31099"/>
    <w:rsid w:val="00B423D5"/>
    <w:rsid w:val="00B42720"/>
    <w:rsid w:val="00B45148"/>
    <w:rsid w:val="00B46DCB"/>
    <w:rsid w:val="00B51991"/>
    <w:rsid w:val="00B5359B"/>
    <w:rsid w:val="00B62452"/>
    <w:rsid w:val="00B62A13"/>
    <w:rsid w:val="00B6612A"/>
    <w:rsid w:val="00B71C6D"/>
    <w:rsid w:val="00B8431D"/>
    <w:rsid w:val="00B84552"/>
    <w:rsid w:val="00B86C23"/>
    <w:rsid w:val="00B916C6"/>
    <w:rsid w:val="00B91FDA"/>
    <w:rsid w:val="00B933CD"/>
    <w:rsid w:val="00B9542B"/>
    <w:rsid w:val="00BA07EF"/>
    <w:rsid w:val="00BA2372"/>
    <w:rsid w:val="00BA4224"/>
    <w:rsid w:val="00BA4781"/>
    <w:rsid w:val="00BA5362"/>
    <w:rsid w:val="00BA647C"/>
    <w:rsid w:val="00BB76BF"/>
    <w:rsid w:val="00BC159C"/>
    <w:rsid w:val="00BC1D48"/>
    <w:rsid w:val="00BC6470"/>
    <w:rsid w:val="00BD232D"/>
    <w:rsid w:val="00BE0495"/>
    <w:rsid w:val="00BE0EE1"/>
    <w:rsid w:val="00BF1F65"/>
    <w:rsid w:val="00BF2232"/>
    <w:rsid w:val="00BF55FD"/>
    <w:rsid w:val="00C0078D"/>
    <w:rsid w:val="00C04596"/>
    <w:rsid w:val="00C04749"/>
    <w:rsid w:val="00C0590F"/>
    <w:rsid w:val="00C14EA3"/>
    <w:rsid w:val="00C16041"/>
    <w:rsid w:val="00C215ED"/>
    <w:rsid w:val="00C26132"/>
    <w:rsid w:val="00C2648D"/>
    <w:rsid w:val="00C269F8"/>
    <w:rsid w:val="00C35943"/>
    <w:rsid w:val="00C40567"/>
    <w:rsid w:val="00C43DB5"/>
    <w:rsid w:val="00C44D6B"/>
    <w:rsid w:val="00C4555C"/>
    <w:rsid w:val="00C46745"/>
    <w:rsid w:val="00C520BD"/>
    <w:rsid w:val="00C55939"/>
    <w:rsid w:val="00C56366"/>
    <w:rsid w:val="00C60531"/>
    <w:rsid w:val="00C60E2E"/>
    <w:rsid w:val="00C6103D"/>
    <w:rsid w:val="00C61771"/>
    <w:rsid w:val="00C620C7"/>
    <w:rsid w:val="00C62F59"/>
    <w:rsid w:val="00C6731A"/>
    <w:rsid w:val="00C67AB3"/>
    <w:rsid w:val="00C67D3C"/>
    <w:rsid w:val="00C75C1C"/>
    <w:rsid w:val="00C805A8"/>
    <w:rsid w:val="00C84520"/>
    <w:rsid w:val="00C84F26"/>
    <w:rsid w:val="00C858BA"/>
    <w:rsid w:val="00C87A6A"/>
    <w:rsid w:val="00C90D0A"/>
    <w:rsid w:val="00C925FF"/>
    <w:rsid w:val="00C9395A"/>
    <w:rsid w:val="00C93B61"/>
    <w:rsid w:val="00C94BE2"/>
    <w:rsid w:val="00C97940"/>
    <w:rsid w:val="00CA1A66"/>
    <w:rsid w:val="00CA5C73"/>
    <w:rsid w:val="00CB137F"/>
    <w:rsid w:val="00CB37B4"/>
    <w:rsid w:val="00CB4EFD"/>
    <w:rsid w:val="00CB7AE5"/>
    <w:rsid w:val="00CC11B3"/>
    <w:rsid w:val="00CC33F9"/>
    <w:rsid w:val="00CC48BD"/>
    <w:rsid w:val="00CC5C49"/>
    <w:rsid w:val="00CC6A12"/>
    <w:rsid w:val="00CC766A"/>
    <w:rsid w:val="00CD2C80"/>
    <w:rsid w:val="00CD3577"/>
    <w:rsid w:val="00CD3D2B"/>
    <w:rsid w:val="00CD47A2"/>
    <w:rsid w:val="00CD4B37"/>
    <w:rsid w:val="00CE0299"/>
    <w:rsid w:val="00CE0A6A"/>
    <w:rsid w:val="00CE232A"/>
    <w:rsid w:val="00CE549B"/>
    <w:rsid w:val="00CE6A60"/>
    <w:rsid w:val="00CE7A10"/>
    <w:rsid w:val="00CF4D9C"/>
    <w:rsid w:val="00CF597E"/>
    <w:rsid w:val="00CF5BA7"/>
    <w:rsid w:val="00D020D8"/>
    <w:rsid w:val="00D023BA"/>
    <w:rsid w:val="00D10652"/>
    <w:rsid w:val="00D135B7"/>
    <w:rsid w:val="00D16F86"/>
    <w:rsid w:val="00D20B30"/>
    <w:rsid w:val="00D21F6C"/>
    <w:rsid w:val="00D230F7"/>
    <w:rsid w:val="00D26512"/>
    <w:rsid w:val="00D26AAF"/>
    <w:rsid w:val="00D315CC"/>
    <w:rsid w:val="00D331B7"/>
    <w:rsid w:val="00D335ED"/>
    <w:rsid w:val="00D33B12"/>
    <w:rsid w:val="00D3711B"/>
    <w:rsid w:val="00D37652"/>
    <w:rsid w:val="00D43CC1"/>
    <w:rsid w:val="00D5082A"/>
    <w:rsid w:val="00D57538"/>
    <w:rsid w:val="00D64C16"/>
    <w:rsid w:val="00D73088"/>
    <w:rsid w:val="00D774E5"/>
    <w:rsid w:val="00D82350"/>
    <w:rsid w:val="00D83B94"/>
    <w:rsid w:val="00D84B4A"/>
    <w:rsid w:val="00D86A2F"/>
    <w:rsid w:val="00D87B95"/>
    <w:rsid w:val="00D9036E"/>
    <w:rsid w:val="00D92398"/>
    <w:rsid w:val="00DA1E16"/>
    <w:rsid w:val="00DA4BBB"/>
    <w:rsid w:val="00DA71C8"/>
    <w:rsid w:val="00DB5108"/>
    <w:rsid w:val="00DB6168"/>
    <w:rsid w:val="00DB61E0"/>
    <w:rsid w:val="00DB6692"/>
    <w:rsid w:val="00DB751B"/>
    <w:rsid w:val="00DC23B6"/>
    <w:rsid w:val="00DC49DA"/>
    <w:rsid w:val="00DD5C8F"/>
    <w:rsid w:val="00DD7D69"/>
    <w:rsid w:val="00DE1C0E"/>
    <w:rsid w:val="00DE2879"/>
    <w:rsid w:val="00DE4D23"/>
    <w:rsid w:val="00DE5607"/>
    <w:rsid w:val="00DF42F6"/>
    <w:rsid w:val="00DF4477"/>
    <w:rsid w:val="00E00908"/>
    <w:rsid w:val="00E01BC8"/>
    <w:rsid w:val="00E04915"/>
    <w:rsid w:val="00E04E1D"/>
    <w:rsid w:val="00E065A7"/>
    <w:rsid w:val="00E12AD2"/>
    <w:rsid w:val="00E13771"/>
    <w:rsid w:val="00E138B2"/>
    <w:rsid w:val="00E14489"/>
    <w:rsid w:val="00E171C0"/>
    <w:rsid w:val="00E32971"/>
    <w:rsid w:val="00E32C26"/>
    <w:rsid w:val="00E32F70"/>
    <w:rsid w:val="00E33FD9"/>
    <w:rsid w:val="00E43E61"/>
    <w:rsid w:val="00E441BA"/>
    <w:rsid w:val="00E44A67"/>
    <w:rsid w:val="00E4503E"/>
    <w:rsid w:val="00E474E4"/>
    <w:rsid w:val="00E47E37"/>
    <w:rsid w:val="00E533CA"/>
    <w:rsid w:val="00E53CD0"/>
    <w:rsid w:val="00E60E60"/>
    <w:rsid w:val="00E61067"/>
    <w:rsid w:val="00E70A26"/>
    <w:rsid w:val="00E72BA8"/>
    <w:rsid w:val="00E73140"/>
    <w:rsid w:val="00E774B0"/>
    <w:rsid w:val="00E77589"/>
    <w:rsid w:val="00E82722"/>
    <w:rsid w:val="00E928D7"/>
    <w:rsid w:val="00EA7491"/>
    <w:rsid w:val="00EB0995"/>
    <w:rsid w:val="00EB1731"/>
    <w:rsid w:val="00EB51A9"/>
    <w:rsid w:val="00EC10CC"/>
    <w:rsid w:val="00EC37E0"/>
    <w:rsid w:val="00EC5FAC"/>
    <w:rsid w:val="00EC7968"/>
    <w:rsid w:val="00ED225F"/>
    <w:rsid w:val="00ED462D"/>
    <w:rsid w:val="00EE0A71"/>
    <w:rsid w:val="00EE15D4"/>
    <w:rsid w:val="00EE5A24"/>
    <w:rsid w:val="00EF02D4"/>
    <w:rsid w:val="00EF1CEC"/>
    <w:rsid w:val="00EF5044"/>
    <w:rsid w:val="00EF6571"/>
    <w:rsid w:val="00EF66F7"/>
    <w:rsid w:val="00F01E46"/>
    <w:rsid w:val="00F05B29"/>
    <w:rsid w:val="00F163A4"/>
    <w:rsid w:val="00F17F2D"/>
    <w:rsid w:val="00F26BCC"/>
    <w:rsid w:val="00F30F87"/>
    <w:rsid w:val="00F3482A"/>
    <w:rsid w:val="00F37116"/>
    <w:rsid w:val="00F45309"/>
    <w:rsid w:val="00F4591C"/>
    <w:rsid w:val="00F54393"/>
    <w:rsid w:val="00F55407"/>
    <w:rsid w:val="00F57B91"/>
    <w:rsid w:val="00F6017C"/>
    <w:rsid w:val="00F632CB"/>
    <w:rsid w:val="00F63FB7"/>
    <w:rsid w:val="00F65A26"/>
    <w:rsid w:val="00F6664E"/>
    <w:rsid w:val="00F761AA"/>
    <w:rsid w:val="00F85CB2"/>
    <w:rsid w:val="00F86369"/>
    <w:rsid w:val="00F90B8F"/>
    <w:rsid w:val="00F96AF1"/>
    <w:rsid w:val="00FA2EA5"/>
    <w:rsid w:val="00FA5B43"/>
    <w:rsid w:val="00FB2658"/>
    <w:rsid w:val="00FB4C18"/>
    <w:rsid w:val="00FB521C"/>
    <w:rsid w:val="00FB6920"/>
    <w:rsid w:val="00FC1C21"/>
    <w:rsid w:val="00FC6216"/>
    <w:rsid w:val="00FC6337"/>
    <w:rsid w:val="00FD23F4"/>
    <w:rsid w:val="00FD2E32"/>
    <w:rsid w:val="00FD76A4"/>
    <w:rsid w:val="00FD77B1"/>
    <w:rsid w:val="00FE20D9"/>
    <w:rsid w:val="00FE4D7E"/>
    <w:rsid w:val="00FE5CEC"/>
    <w:rsid w:val="00FE6F4F"/>
    <w:rsid w:val="00FF3A57"/>
    <w:rsid w:val="00FF4C35"/>
    <w:rsid w:val="00FF6C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D46982"/>
  <w15:docId w15:val="{422183E0-3432-42CC-B376-2387D4F2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5019"/>
    <w:rPr>
      <w:rFonts w:ascii="Arial" w:hAnsi="Arial"/>
    </w:rPr>
  </w:style>
  <w:style w:type="paragraph" w:styleId="berschrift1">
    <w:name w:val="heading 1"/>
    <w:basedOn w:val="Standard"/>
    <w:next w:val="Standard"/>
    <w:link w:val="berschrift1Zchn"/>
    <w:uiPriority w:val="9"/>
    <w:qFormat/>
    <w:rsid w:val="007E7C77"/>
    <w:pPr>
      <w:keepNext/>
      <w:keepLines/>
      <w:numPr>
        <w:numId w:val="2"/>
      </w:numPr>
      <w:spacing w:before="480" w:after="360"/>
      <w:outlineLvl w:val="0"/>
    </w:pPr>
    <w:rPr>
      <w:rFonts w:eastAsiaTheme="majorEastAsia" w:cstheme="majorBidi"/>
      <w:b/>
      <w:bCs/>
      <w:sz w:val="24"/>
      <w:szCs w:val="28"/>
    </w:rPr>
  </w:style>
  <w:style w:type="paragraph" w:styleId="berschrift2">
    <w:name w:val="heading 2"/>
    <w:basedOn w:val="berschrift1"/>
    <w:next w:val="Standard"/>
    <w:link w:val="berschrift2Zchn"/>
    <w:uiPriority w:val="9"/>
    <w:unhideWhenUsed/>
    <w:qFormat/>
    <w:rsid w:val="00066F15"/>
    <w:pPr>
      <w:numPr>
        <w:numId w:val="4"/>
      </w:numPr>
      <w:spacing w:before="240" w:after="240"/>
      <w:outlineLvl w:val="1"/>
    </w:pPr>
    <w:rPr>
      <w:bCs w:val="0"/>
      <w:szCs w:val="26"/>
    </w:rPr>
  </w:style>
  <w:style w:type="paragraph" w:styleId="berschrift3">
    <w:name w:val="heading 3"/>
    <w:basedOn w:val="berschrift2"/>
    <w:next w:val="berschrift2"/>
    <w:link w:val="berschrift3Zchn"/>
    <w:uiPriority w:val="4"/>
    <w:qFormat/>
    <w:rsid w:val="00FB4C18"/>
    <w:pPr>
      <w:numPr>
        <w:ilvl w:val="2"/>
        <w:numId w:val="1"/>
      </w:numPr>
      <w:outlineLvl w:val="2"/>
    </w:pPr>
    <w:rPr>
      <w:rFonts w:asciiTheme="minorHAnsi" w:hAnsiTheme="minorHAnsi"/>
      <w:b w:val="0"/>
    </w:rPr>
  </w:style>
  <w:style w:type="paragraph" w:styleId="berschrift4">
    <w:name w:val="heading 4"/>
    <w:basedOn w:val="Standard"/>
    <w:next w:val="Standard"/>
    <w:link w:val="berschrift4Zchn"/>
    <w:unhideWhenUsed/>
    <w:qFormat/>
    <w:rsid w:val="006C0A10"/>
    <w:pPr>
      <w:keepNext/>
      <w:keepLines/>
      <w:numPr>
        <w:ilvl w:val="3"/>
        <w:numId w:val="33"/>
      </w:numPr>
      <w:spacing w:after="0" w:line="248" w:lineRule="exact"/>
      <w:outlineLvl w:val="3"/>
    </w:pPr>
    <w:rPr>
      <w:rFonts w:ascii="Arial Black" w:eastAsiaTheme="majorEastAsia" w:hAnsi="Arial Black" w:cstheme="majorBidi"/>
      <w:bCs/>
      <w:iCs/>
      <w:sz w:val="21"/>
      <w:szCs w:val="20"/>
    </w:rPr>
  </w:style>
  <w:style w:type="paragraph" w:styleId="berschrift5">
    <w:name w:val="heading 5"/>
    <w:basedOn w:val="Standard"/>
    <w:next w:val="Standard"/>
    <w:link w:val="berschrift5Zchn"/>
    <w:qFormat/>
    <w:rsid w:val="006C0A10"/>
    <w:pPr>
      <w:keepNext/>
      <w:numPr>
        <w:ilvl w:val="4"/>
        <w:numId w:val="33"/>
      </w:numPr>
      <w:spacing w:before="240" w:after="240" w:line="240" w:lineRule="auto"/>
      <w:jc w:val="both"/>
      <w:outlineLvl w:val="4"/>
    </w:pPr>
    <w:rPr>
      <w:rFonts w:eastAsia="Times New Roman" w:cs="Times New Roman"/>
      <w:b/>
      <w:lang w:eastAsia="de-CH"/>
    </w:rPr>
  </w:style>
  <w:style w:type="paragraph" w:styleId="berschrift6">
    <w:name w:val="heading 6"/>
    <w:basedOn w:val="Standard"/>
    <w:next w:val="Standard"/>
    <w:link w:val="berschrift6Zchn"/>
    <w:qFormat/>
    <w:rsid w:val="006C0A10"/>
    <w:pPr>
      <w:keepNext/>
      <w:numPr>
        <w:ilvl w:val="5"/>
        <w:numId w:val="33"/>
      </w:numPr>
      <w:tabs>
        <w:tab w:val="left" w:pos="1418"/>
        <w:tab w:val="left" w:pos="1985"/>
        <w:tab w:val="left" w:pos="2835"/>
      </w:tabs>
      <w:spacing w:after="120" w:line="200" w:lineRule="atLeast"/>
      <w:jc w:val="both"/>
      <w:outlineLvl w:val="5"/>
    </w:pPr>
    <w:rPr>
      <w:rFonts w:eastAsia="Times New Roman" w:cs="Times New Roman"/>
      <w:b/>
      <w:u w:val="single"/>
      <w:lang w:eastAsia="de-CH"/>
    </w:rPr>
  </w:style>
  <w:style w:type="paragraph" w:styleId="berschrift7">
    <w:name w:val="heading 7"/>
    <w:basedOn w:val="Standard"/>
    <w:next w:val="Standard"/>
    <w:link w:val="berschrift7Zchn"/>
    <w:qFormat/>
    <w:rsid w:val="006C0A10"/>
    <w:pPr>
      <w:numPr>
        <w:ilvl w:val="6"/>
        <w:numId w:val="33"/>
      </w:numPr>
      <w:spacing w:before="240" w:after="60" w:line="240" w:lineRule="auto"/>
      <w:jc w:val="both"/>
      <w:outlineLvl w:val="6"/>
    </w:pPr>
    <w:rPr>
      <w:rFonts w:ascii="Times New Roman" w:eastAsia="Times New Roman" w:hAnsi="Times New Roman" w:cs="Times New Roman"/>
      <w:sz w:val="24"/>
      <w:szCs w:val="24"/>
      <w:lang w:eastAsia="de-CH"/>
    </w:rPr>
  </w:style>
  <w:style w:type="paragraph" w:styleId="berschrift8">
    <w:name w:val="heading 8"/>
    <w:basedOn w:val="Standard"/>
    <w:next w:val="Standard"/>
    <w:link w:val="berschrift8Zchn"/>
    <w:qFormat/>
    <w:rsid w:val="006C0A10"/>
    <w:pPr>
      <w:numPr>
        <w:ilvl w:val="7"/>
        <w:numId w:val="33"/>
      </w:numPr>
      <w:spacing w:before="240" w:after="60" w:line="240" w:lineRule="auto"/>
      <w:jc w:val="both"/>
      <w:outlineLvl w:val="7"/>
    </w:pPr>
    <w:rPr>
      <w:rFonts w:ascii="Times New Roman" w:eastAsia="Times New Roman" w:hAnsi="Times New Roman" w:cs="Times New Roman"/>
      <w:i/>
      <w:iCs/>
      <w:sz w:val="24"/>
      <w:szCs w:val="24"/>
      <w:lang w:eastAsia="de-CH"/>
    </w:rPr>
  </w:style>
  <w:style w:type="paragraph" w:styleId="berschrift9">
    <w:name w:val="heading 9"/>
    <w:basedOn w:val="Standard"/>
    <w:next w:val="Standard"/>
    <w:link w:val="berschrift9Zchn"/>
    <w:qFormat/>
    <w:rsid w:val="006C0A10"/>
    <w:pPr>
      <w:numPr>
        <w:ilvl w:val="8"/>
        <w:numId w:val="33"/>
      </w:numPr>
      <w:spacing w:before="240" w:after="60" w:line="240" w:lineRule="auto"/>
      <w:jc w:val="both"/>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4"/>
    <w:rsid w:val="00FB4C18"/>
    <w:rPr>
      <w:rFonts w:eastAsiaTheme="majorEastAsia" w:cstheme="majorBidi"/>
      <w:bCs/>
      <w:sz w:val="24"/>
      <w:szCs w:val="26"/>
    </w:rPr>
  </w:style>
  <w:style w:type="character" w:customStyle="1" w:styleId="berschrift2Zchn">
    <w:name w:val="Überschrift 2 Zchn"/>
    <w:basedOn w:val="Absatz-Standardschriftart"/>
    <w:link w:val="berschrift2"/>
    <w:uiPriority w:val="9"/>
    <w:rsid w:val="00066F15"/>
    <w:rPr>
      <w:rFonts w:ascii="Arial" w:eastAsiaTheme="majorEastAsia" w:hAnsi="Arial" w:cstheme="majorBidi"/>
      <w:b/>
      <w:szCs w:val="26"/>
    </w:rPr>
  </w:style>
  <w:style w:type="paragraph" w:styleId="Titel">
    <w:name w:val="Title"/>
    <w:basedOn w:val="Standard"/>
    <w:next w:val="Standard"/>
    <w:link w:val="TitelZchn"/>
    <w:uiPriority w:val="10"/>
    <w:qFormat/>
    <w:rsid w:val="00202D5E"/>
    <w:pPr>
      <w:spacing w:before="240" w:after="480" w:line="240" w:lineRule="auto"/>
      <w:jc w:val="center"/>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202D5E"/>
    <w:rPr>
      <w:rFonts w:ascii="Arial" w:eastAsiaTheme="majorEastAsia" w:hAnsi="Arial" w:cstheme="majorBidi"/>
      <w:b/>
      <w:spacing w:val="5"/>
      <w:kern w:val="28"/>
      <w:sz w:val="32"/>
      <w:szCs w:val="52"/>
    </w:rPr>
  </w:style>
  <w:style w:type="character" w:customStyle="1" w:styleId="Hochgestellt">
    <w:name w:val="Hochgestellt"/>
    <w:basedOn w:val="Absatz-Standardschriftart"/>
    <w:rsid w:val="00202D5E"/>
    <w:rPr>
      <w:rFonts w:ascii="Arial" w:hAnsi="Arial"/>
      <w:sz w:val="20"/>
      <w:vertAlign w:val="superscript"/>
    </w:rPr>
  </w:style>
  <w:style w:type="paragraph" w:styleId="Untertitel">
    <w:name w:val="Subtitle"/>
    <w:basedOn w:val="Standard"/>
    <w:next w:val="Standard"/>
    <w:link w:val="UntertitelZchn"/>
    <w:uiPriority w:val="11"/>
    <w:qFormat/>
    <w:rsid w:val="00202D5E"/>
    <w:pPr>
      <w:numPr>
        <w:ilvl w:val="1"/>
      </w:numPr>
      <w:spacing w:before="240" w:after="360"/>
      <w:contextualSpacing/>
      <w:jc w:val="center"/>
    </w:pPr>
    <w:rPr>
      <w:rFonts w:eastAsiaTheme="majorEastAsia" w:cstheme="majorBidi"/>
      <w:b/>
      <w:i/>
      <w:iCs/>
      <w:spacing w:val="15"/>
      <w:sz w:val="24"/>
      <w:szCs w:val="24"/>
    </w:rPr>
  </w:style>
  <w:style w:type="character" w:customStyle="1" w:styleId="UntertitelZchn">
    <w:name w:val="Untertitel Zchn"/>
    <w:basedOn w:val="Absatz-Standardschriftart"/>
    <w:link w:val="Untertitel"/>
    <w:uiPriority w:val="11"/>
    <w:rsid w:val="00202D5E"/>
    <w:rPr>
      <w:rFonts w:ascii="Arial" w:eastAsiaTheme="majorEastAsia" w:hAnsi="Arial" w:cstheme="majorBidi"/>
      <w:b/>
      <w:i/>
      <w:iCs/>
      <w:spacing w:val="15"/>
      <w:sz w:val="24"/>
      <w:szCs w:val="24"/>
    </w:rPr>
  </w:style>
  <w:style w:type="paragraph" w:styleId="Funotentext">
    <w:name w:val="footnote text"/>
    <w:basedOn w:val="Standard"/>
    <w:link w:val="FunotentextZchn"/>
    <w:semiHidden/>
    <w:unhideWhenUsed/>
    <w:rsid w:val="00202D5E"/>
    <w:pPr>
      <w:spacing w:after="0" w:line="240" w:lineRule="auto"/>
    </w:pPr>
    <w:rPr>
      <w:sz w:val="20"/>
      <w:szCs w:val="20"/>
    </w:rPr>
  </w:style>
  <w:style w:type="character" w:customStyle="1" w:styleId="FunotentextZchn">
    <w:name w:val="Fußnotentext Zchn"/>
    <w:basedOn w:val="Absatz-Standardschriftart"/>
    <w:link w:val="Funotentext"/>
    <w:semiHidden/>
    <w:rsid w:val="00202D5E"/>
    <w:rPr>
      <w:rFonts w:ascii="Arial" w:hAnsi="Arial"/>
      <w:sz w:val="20"/>
      <w:szCs w:val="20"/>
    </w:rPr>
  </w:style>
  <w:style w:type="character" w:styleId="Funotenzeichen">
    <w:name w:val="footnote reference"/>
    <w:basedOn w:val="Absatz-Standardschriftart"/>
    <w:semiHidden/>
    <w:unhideWhenUsed/>
    <w:rsid w:val="00202D5E"/>
    <w:rPr>
      <w:vertAlign w:val="superscript"/>
    </w:rPr>
  </w:style>
  <w:style w:type="paragraph" w:styleId="Endnotentext">
    <w:name w:val="endnote text"/>
    <w:basedOn w:val="Standard"/>
    <w:link w:val="EndnotentextZchn"/>
    <w:uiPriority w:val="99"/>
    <w:semiHidden/>
    <w:unhideWhenUsed/>
    <w:rsid w:val="00202D5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202D5E"/>
    <w:rPr>
      <w:rFonts w:ascii="Arial" w:hAnsi="Arial"/>
      <w:sz w:val="20"/>
      <w:szCs w:val="20"/>
    </w:rPr>
  </w:style>
  <w:style w:type="character" w:styleId="Endnotenzeichen">
    <w:name w:val="endnote reference"/>
    <w:basedOn w:val="Absatz-Standardschriftart"/>
    <w:unhideWhenUsed/>
    <w:rsid w:val="00202D5E"/>
    <w:rPr>
      <w:vertAlign w:val="superscript"/>
    </w:rPr>
  </w:style>
  <w:style w:type="character" w:customStyle="1" w:styleId="berschrift1Zchn">
    <w:name w:val="Überschrift 1 Zchn"/>
    <w:basedOn w:val="Absatz-Standardschriftart"/>
    <w:link w:val="berschrift1"/>
    <w:uiPriority w:val="9"/>
    <w:rsid w:val="007E7C77"/>
    <w:rPr>
      <w:rFonts w:ascii="Arial" w:eastAsiaTheme="majorEastAsia" w:hAnsi="Arial" w:cstheme="majorBidi"/>
      <w:b/>
      <w:bCs/>
      <w:sz w:val="24"/>
      <w:szCs w:val="28"/>
    </w:rPr>
  </w:style>
  <w:style w:type="paragraph" w:customStyle="1" w:styleId="Artikel">
    <w:name w:val="Artikel"/>
    <w:basedOn w:val="Standard"/>
    <w:next w:val="Standard"/>
    <w:autoRedefine/>
    <w:qFormat/>
    <w:rsid w:val="0044481E"/>
    <w:pPr>
      <w:keepNext/>
      <w:spacing w:before="360" w:after="120"/>
      <w:ind w:left="851" w:hanging="851"/>
    </w:pPr>
    <w:rPr>
      <w:b/>
      <w:kern w:val="22"/>
    </w:rPr>
  </w:style>
  <w:style w:type="paragraph" w:customStyle="1" w:styleId="AufzhlungStriche">
    <w:name w:val="Aufzählung Striche"/>
    <w:basedOn w:val="Standard"/>
    <w:qFormat/>
    <w:rsid w:val="002B2957"/>
    <w:pPr>
      <w:numPr>
        <w:numId w:val="3"/>
      </w:numPr>
      <w:tabs>
        <w:tab w:val="left" w:pos="3969"/>
      </w:tabs>
      <w:ind w:left="851" w:hanging="397"/>
    </w:pPr>
  </w:style>
  <w:style w:type="paragraph" w:customStyle="1" w:styleId="StandardmitEinzug">
    <w:name w:val="Standard mit Einzug"/>
    <w:basedOn w:val="Standard"/>
    <w:next w:val="Standard"/>
    <w:rsid w:val="00AD6866"/>
    <w:pPr>
      <w:ind w:left="397"/>
    </w:pPr>
    <w:rPr>
      <w:rFonts w:eastAsia="Times New Roman" w:cs="Times New Roman"/>
      <w:szCs w:val="20"/>
    </w:rPr>
  </w:style>
  <w:style w:type="character" w:customStyle="1" w:styleId="FormatvorlageKursiv">
    <w:name w:val="Formatvorlage Kursiv"/>
    <w:basedOn w:val="Absatz-Standardschriftart"/>
    <w:rsid w:val="00602E9D"/>
    <w:rPr>
      <w:rFonts w:ascii="Arial" w:hAnsi="Arial"/>
      <w:i/>
      <w:iCs/>
      <w:sz w:val="22"/>
    </w:rPr>
  </w:style>
  <w:style w:type="character" w:styleId="Fett">
    <w:name w:val="Strong"/>
    <w:basedOn w:val="Absatz-Standardschriftart"/>
    <w:qFormat/>
    <w:rsid w:val="00602E9D"/>
    <w:rPr>
      <w:b/>
      <w:bCs/>
    </w:rPr>
  </w:style>
  <w:style w:type="paragraph" w:styleId="Kopfzeile">
    <w:name w:val="header"/>
    <w:basedOn w:val="Standard"/>
    <w:link w:val="KopfzeileZchn"/>
    <w:uiPriority w:val="99"/>
    <w:unhideWhenUsed/>
    <w:rsid w:val="00AA46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4694"/>
    <w:rPr>
      <w:rFonts w:ascii="Arial" w:hAnsi="Arial"/>
    </w:rPr>
  </w:style>
  <w:style w:type="paragraph" w:styleId="Fuzeile">
    <w:name w:val="footer"/>
    <w:basedOn w:val="Standard"/>
    <w:link w:val="FuzeileZchn"/>
    <w:uiPriority w:val="99"/>
    <w:unhideWhenUsed/>
    <w:rsid w:val="00AA46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4694"/>
    <w:rPr>
      <w:rFonts w:ascii="Arial" w:hAnsi="Arial"/>
    </w:rPr>
  </w:style>
  <w:style w:type="paragraph" w:customStyle="1" w:styleId="Default">
    <w:name w:val="Default"/>
    <w:rsid w:val="00A82C44"/>
    <w:pPr>
      <w:autoSpaceDE w:val="0"/>
      <w:autoSpaceDN w:val="0"/>
      <w:adjustRightInd w:val="0"/>
      <w:spacing w:after="0" w:line="240" w:lineRule="auto"/>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7A54D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54DC"/>
    <w:rPr>
      <w:rFonts w:ascii="Segoe UI" w:hAnsi="Segoe UI" w:cs="Segoe UI"/>
      <w:sz w:val="18"/>
      <w:szCs w:val="18"/>
    </w:rPr>
  </w:style>
  <w:style w:type="paragraph" w:styleId="Listenabsatz">
    <w:name w:val="List Paragraph"/>
    <w:basedOn w:val="Standard"/>
    <w:uiPriority w:val="34"/>
    <w:qFormat/>
    <w:rsid w:val="00975981"/>
    <w:pPr>
      <w:ind w:left="720"/>
      <w:contextualSpacing/>
    </w:pPr>
  </w:style>
  <w:style w:type="paragraph" w:customStyle="1" w:styleId="Text">
    <w:name w:val="Text"/>
    <w:link w:val="TextZchn"/>
    <w:qFormat/>
    <w:rsid w:val="004F0728"/>
    <w:pPr>
      <w:spacing w:after="120"/>
    </w:pPr>
    <w:rPr>
      <w:rFonts w:ascii="Arial" w:hAnsi="Arial"/>
    </w:rPr>
  </w:style>
  <w:style w:type="character" w:customStyle="1" w:styleId="TextZchn">
    <w:name w:val="Text Zchn"/>
    <w:basedOn w:val="Absatz-Standardschriftart"/>
    <w:link w:val="Text"/>
    <w:rsid w:val="004F0728"/>
    <w:rPr>
      <w:rFonts w:ascii="Arial" w:hAnsi="Arial"/>
    </w:rPr>
  </w:style>
  <w:style w:type="character" w:styleId="Kommentarzeichen">
    <w:name w:val="annotation reference"/>
    <w:basedOn w:val="Absatz-Standardschriftart"/>
    <w:uiPriority w:val="99"/>
    <w:semiHidden/>
    <w:unhideWhenUsed/>
    <w:rsid w:val="00B155B4"/>
    <w:rPr>
      <w:sz w:val="16"/>
      <w:szCs w:val="16"/>
    </w:rPr>
  </w:style>
  <w:style w:type="paragraph" w:styleId="Kommentartext">
    <w:name w:val="annotation text"/>
    <w:basedOn w:val="Standard"/>
    <w:link w:val="KommentartextZchn"/>
    <w:uiPriority w:val="99"/>
    <w:unhideWhenUsed/>
    <w:rsid w:val="00B155B4"/>
    <w:pPr>
      <w:spacing w:line="240" w:lineRule="auto"/>
    </w:pPr>
    <w:rPr>
      <w:sz w:val="20"/>
      <w:szCs w:val="20"/>
    </w:rPr>
  </w:style>
  <w:style w:type="character" w:customStyle="1" w:styleId="KommentartextZchn">
    <w:name w:val="Kommentartext Zchn"/>
    <w:basedOn w:val="Absatz-Standardschriftart"/>
    <w:link w:val="Kommentartext"/>
    <w:uiPriority w:val="99"/>
    <w:rsid w:val="00B155B4"/>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7E7C77"/>
    <w:rPr>
      <w:b/>
      <w:bCs/>
    </w:rPr>
  </w:style>
  <w:style w:type="character" w:customStyle="1" w:styleId="KommentarthemaZchn">
    <w:name w:val="Kommentarthema Zchn"/>
    <w:basedOn w:val="KommentartextZchn"/>
    <w:link w:val="Kommentarthema"/>
    <w:uiPriority w:val="99"/>
    <w:semiHidden/>
    <w:rsid w:val="007E7C77"/>
    <w:rPr>
      <w:rFonts w:ascii="Arial" w:hAnsi="Arial"/>
      <w:b/>
      <w:bCs/>
      <w:sz w:val="20"/>
      <w:szCs w:val="20"/>
    </w:rPr>
  </w:style>
  <w:style w:type="table" w:styleId="Tabellenraster">
    <w:name w:val="Table Grid"/>
    <w:basedOn w:val="NormaleTabelle"/>
    <w:uiPriority w:val="59"/>
    <w:rsid w:val="00DD5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C4866"/>
    <w:rPr>
      <w:color w:val="0000FF"/>
      <w:u w:val="single"/>
    </w:rPr>
  </w:style>
  <w:style w:type="paragraph" w:styleId="berarbeitung">
    <w:name w:val="Revision"/>
    <w:hidden/>
    <w:uiPriority w:val="99"/>
    <w:semiHidden/>
    <w:rsid w:val="00C94BE2"/>
    <w:pPr>
      <w:spacing w:after="0" w:line="240" w:lineRule="auto"/>
    </w:pPr>
    <w:rPr>
      <w:rFonts w:ascii="Arial" w:hAnsi="Arial"/>
    </w:rPr>
  </w:style>
  <w:style w:type="character" w:customStyle="1" w:styleId="berschrift4Zchn">
    <w:name w:val="Überschrift 4 Zchn"/>
    <w:basedOn w:val="Absatz-Standardschriftart"/>
    <w:link w:val="berschrift4"/>
    <w:rsid w:val="006C0A10"/>
    <w:rPr>
      <w:rFonts w:ascii="Arial Black" w:eastAsiaTheme="majorEastAsia" w:hAnsi="Arial Black" w:cstheme="majorBidi"/>
      <w:bCs/>
      <w:iCs/>
      <w:sz w:val="21"/>
      <w:szCs w:val="20"/>
    </w:rPr>
  </w:style>
  <w:style w:type="character" w:customStyle="1" w:styleId="berschrift5Zchn">
    <w:name w:val="Überschrift 5 Zchn"/>
    <w:basedOn w:val="Absatz-Standardschriftart"/>
    <w:link w:val="berschrift5"/>
    <w:rsid w:val="006C0A10"/>
    <w:rPr>
      <w:rFonts w:ascii="Arial" w:eastAsia="Times New Roman" w:hAnsi="Arial" w:cs="Times New Roman"/>
      <w:b/>
      <w:lang w:eastAsia="de-CH"/>
    </w:rPr>
  </w:style>
  <w:style w:type="character" w:customStyle="1" w:styleId="berschrift6Zchn">
    <w:name w:val="Überschrift 6 Zchn"/>
    <w:basedOn w:val="Absatz-Standardschriftart"/>
    <w:link w:val="berschrift6"/>
    <w:rsid w:val="006C0A10"/>
    <w:rPr>
      <w:rFonts w:ascii="Arial" w:eastAsia="Times New Roman" w:hAnsi="Arial" w:cs="Times New Roman"/>
      <w:b/>
      <w:u w:val="single"/>
      <w:lang w:eastAsia="de-CH"/>
    </w:rPr>
  </w:style>
  <w:style w:type="character" w:customStyle="1" w:styleId="berschrift7Zchn">
    <w:name w:val="Überschrift 7 Zchn"/>
    <w:basedOn w:val="Absatz-Standardschriftart"/>
    <w:link w:val="berschrift7"/>
    <w:rsid w:val="006C0A10"/>
    <w:rPr>
      <w:rFonts w:ascii="Times New Roman" w:eastAsia="Times New Roman" w:hAnsi="Times New Roman" w:cs="Times New Roman"/>
      <w:sz w:val="24"/>
      <w:szCs w:val="24"/>
      <w:lang w:eastAsia="de-CH"/>
    </w:rPr>
  </w:style>
  <w:style w:type="character" w:customStyle="1" w:styleId="berschrift8Zchn">
    <w:name w:val="Überschrift 8 Zchn"/>
    <w:basedOn w:val="Absatz-Standardschriftart"/>
    <w:link w:val="berschrift8"/>
    <w:rsid w:val="006C0A10"/>
    <w:rPr>
      <w:rFonts w:ascii="Times New Roman" w:eastAsia="Times New Roman" w:hAnsi="Times New Roman" w:cs="Times New Roman"/>
      <w:i/>
      <w:iCs/>
      <w:sz w:val="24"/>
      <w:szCs w:val="24"/>
      <w:lang w:eastAsia="de-CH"/>
    </w:rPr>
  </w:style>
  <w:style w:type="character" w:customStyle="1" w:styleId="berschrift9Zchn">
    <w:name w:val="Überschrift 9 Zchn"/>
    <w:basedOn w:val="Absatz-Standardschriftart"/>
    <w:link w:val="berschrift9"/>
    <w:rsid w:val="006C0A10"/>
    <w:rPr>
      <w:rFonts w:ascii="Arial" w:eastAsia="Times New Roman" w:hAnsi="Arial" w:cs="Arial"/>
      <w:lang w:eastAsia="de-CH"/>
    </w:rPr>
  </w:style>
  <w:style w:type="paragraph" w:customStyle="1" w:styleId="Titel1">
    <w:name w:val="Titel_1"/>
    <w:basedOn w:val="Standard"/>
    <w:next w:val="Standard"/>
    <w:rsid w:val="006C0A10"/>
    <w:pPr>
      <w:numPr>
        <w:numId w:val="33"/>
      </w:numPr>
      <w:spacing w:before="320" w:after="360" w:line="360" w:lineRule="exact"/>
    </w:pPr>
    <w:rPr>
      <w:rFonts w:ascii="Arial Black" w:hAnsi="Arial Black"/>
      <w:sz w:val="32"/>
      <w:szCs w:val="32"/>
      <w:u w:val="double"/>
    </w:rPr>
  </w:style>
  <w:style w:type="paragraph" w:customStyle="1" w:styleId="Titel2">
    <w:name w:val="Titel_2"/>
    <w:basedOn w:val="Standard"/>
    <w:next w:val="Standard"/>
    <w:rsid w:val="006C0A10"/>
    <w:pPr>
      <w:numPr>
        <w:ilvl w:val="1"/>
        <w:numId w:val="33"/>
      </w:numPr>
      <w:spacing w:after="248" w:line="248" w:lineRule="exact"/>
      <w:ind w:left="851" w:hanging="851"/>
    </w:pPr>
    <w:rPr>
      <w:rFonts w:ascii="Arial Black" w:hAnsi="Arial Black"/>
      <w:sz w:val="21"/>
      <w:u w:val="single"/>
    </w:rPr>
  </w:style>
  <w:style w:type="paragraph" w:customStyle="1" w:styleId="Titel3">
    <w:name w:val="Titel_3"/>
    <w:basedOn w:val="Standard"/>
    <w:rsid w:val="006C0A10"/>
    <w:pPr>
      <w:numPr>
        <w:ilvl w:val="2"/>
        <w:numId w:val="33"/>
      </w:numPr>
      <w:spacing w:after="248" w:line="248" w:lineRule="exact"/>
      <w:ind w:left="851" w:hanging="851"/>
    </w:pPr>
    <w:rPr>
      <w:sz w:val="21"/>
    </w:rPr>
  </w:style>
  <w:style w:type="paragraph" w:customStyle="1" w:styleId="srnummer">
    <w:name w:val="srnummer"/>
    <w:basedOn w:val="Standard"/>
    <w:rsid w:val="006B7C85"/>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NichtaufgelsteErwhnung">
    <w:name w:val="Unresolved Mention"/>
    <w:basedOn w:val="Absatz-Standardschriftart"/>
    <w:uiPriority w:val="99"/>
    <w:semiHidden/>
    <w:unhideWhenUsed/>
    <w:rsid w:val="00BA07EF"/>
    <w:rPr>
      <w:color w:val="605E5C"/>
      <w:shd w:val="clear" w:color="auto" w:fill="E1DFDD"/>
    </w:rPr>
  </w:style>
  <w:style w:type="character" w:styleId="BesuchterLink">
    <w:name w:val="FollowedHyperlink"/>
    <w:basedOn w:val="Absatz-Standardschriftart"/>
    <w:uiPriority w:val="99"/>
    <w:semiHidden/>
    <w:unhideWhenUsed/>
    <w:rsid w:val="00474A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0364">
      <w:bodyDiv w:val="1"/>
      <w:marLeft w:val="0"/>
      <w:marRight w:val="0"/>
      <w:marTop w:val="0"/>
      <w:marBottom w:val="0"/>
      <w:divBdr>
        <w:top w:val="none" w:sz="0" w:space="0" w:color="auto"/>
        <w:left w:val="none" w:sz="0" w:space="0" w:color="auto"/>
        <w:bottom w:val="none" w:sz="0" w:space="0" w:color="auto"/>
        <w:right w:val="none" w:sz="0" w:space="0" w:color="auto"/>
      </w:divBdr>
    </w:div>
    <w:div w:id="612130614">
      <w:bodyDiv w:val="1"/>
      <w:marLeft w:val="0"/>
      <w:marRight w:val="0"/>
      <w:marTop w:val="0"/>
      <w:marBottom w:val="0"/>
      <w:divBdr>
        <w:top w:val="none" w:sz="0" w:space="0" w:color="auto"/>
        <w:left w:val="none" w:sz="0" w:space="0" w:color="auto"/>
        <w:bottom w:val="none" w:sz="0" w:space="0" w:color="auto"/>
        <w:right w:val="none" w:sz="0" w:space="0" w:color="auto"/>
      </w:divBdr>
    </w:div>
    <w:div w:id="187134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afu.admin.ch/dam/bafu/de/dokumente/wasser/uv-umwelt-vollzug/wegleitung_grundwasserschutz.pdf.download.pdf/wegleitung_grundwasserschutz.pdf" TargetMode="External"/><Relationship Id="rId1" Type="http://schemas.openxmlformats.org/officeDocument/2006/relationships/hyperlink" Target="https://oereb.geo.gr.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B9A4BAD06C92748B2C8CA92399C5FA3" ma:contentTypeVersion="19" ma:contentTypeDescription="Ein neues Dokument erstellen." ma:contentTypeScope="" ma:versionID="c537bb793cc754175739f95182e760bb">
  <xsd:schema xmlns:xsd="http://www.w3.org/2001/XMLSchema" xmlns:xs="http://www.w3.org/2001/XMLSchema" xmlns:p="http://schemas.microsoft.com/office/2006/metadata/properties" xmlns:ns1="http://schemas.microsoft.com/sharepoint/v3" xmlns:ns2="aaa33bb4-a131-48f4-9bc1-82a00e57a64a" xmlns:ns4="47d2a402-d77b-4bbf-8606-249d8b7d3cfc" targetNamespace="http://schemas.microsoft.com/office/2006/metadata/properties" ma:root="true" ma:fieldsID="b9049b8d6af9ed176373af095fb0f860" ns1:_="" ns2:_="" ns4:_="">
    <xsd:import namespace="http://schemas.microsoft.com/sharepoint/v3"/>
    <xsd:import namespace="aaa33bb4-a131-48f4-9bc1-82a00e57a64a"/>
    <xsd:import namespace="47d2a402-d77b-4bbf-8606-249d8b7d3cfc"/>
    <xsd:element name="properties">
      <xsd:complexType>
        <xsd:sequence>
          <xsd:element name="documentManagement">
            <xsd:complexType>
              <xsd:all>
                <xsd:element ref="ns2:Kurzform" minOccurs="0"/>
                <xsd:element ref="ns2:Numero" minOccurs="0"/>
                <xsd:element ref="ns2:Dokumentart" minOccurs="0"/>
                <xsd:element ref="ns4:DateString" minOccurs="0"/>
                <xsd:element ref="ns1:Language" minOccurs="0"/>
                <xsd:element ref="ns1:CustomerID" minOccurs="0"/>
                <xsd:element ref="ns2:Schluesselwort" minOccurs="0"/>
                <xsd:element ref="ns2:Zielgruppe" minOccurs="0"/>
                <xsd:element ref="ns2:ExemplarWeiter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7" nillable="true" ma:displayName="Sprache" ma:internalName="Language">
      <xsd:complexType>
        <xsd:complexContent>
          <xsd:extension base="dms:MultiChoice">
            <xsd:sequence>
              <xsd:element name="Value" maxOccurs="unbounded" minOccurs="0" nillable="true">
                <xsd:simpleType>
                  <xsd:restriction base="dms:Choice">
                    <xsd:enumeration value="DE"/>
                    <xsd:enumeration value="IT"/>
                    <xsd:enumeration value="RM"/>
                    <xsd:enumeration value="EN"/>
                  </xsd:restriction>
                </xsd:simpleType>
              </xsd:element>
            </xsd:sequence>
          </xsd:extension>
        </xsd:complexContent>
      </xsd:complexType>
    </xsd:element>
    <xsd:element name="CustomerID" ma:index="8" nillable="true" ma:displayName="Benutzerdefinierte ID" ma:description=""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33bb4-a131-48f4-9bc1-82a00e57a64a" elementFormDefault="qualified">
    <xsd:import namespace="http://schemas.microsoft.com/office/2006/documentManagement/types"/>
    <xsd:import namespace="http://schemas.microsoft.com/office/infopath/2007/PartnerControls"/>
    <xsd:element name="Kurzform" ma:index="2" nillable="true" ma:displayName="Kurzform" ma:description="Kurzform zur Dokumentidentifikation" ma:internalName="Kurzform">
      <xsd:simpleType>
        <xsd:restriction base="dms:Text">
          <xsd:maxLength value="100"/>
        </xsd:restriction>
      </xsd:simpleType>
    </xsd:element>
    <xsd:element name="Numero" ma:index="3" nillable="true" ma:displayName="Numero" ma:internalName="Numero">
      <xsd:simpleType>
        <xsd:restriction base="dms:Text">
          <xsd:maxLength value="100"/>
        </xsd:restriction>
      </xsd:simpleType>
    </xsd:element>
    <xsd:element name="Dokumentart" ma:index="5" nillable="true" ma:displayName="Dokumentart" ma:internalName="Dokumentart">
      <xsd:complexType>
        <xsd:complexContent>
          <xsd:extension base="dms:MultiChoice">
            <xsd:sequence>
              <xsd:element name="Value" maxOccurs="unbounded" minOccurs="0" nillable="true">
                <xsd:simpleType>
                  <xsd:restriction base="dms:Choice">
                    <xsd:enumeration value="Vollzugshilfe"/>
                    <xsd:enumeration value="Merkblatt"/>
                    <xsd:enumeration value="Weisung"/>
                    <xsd:enumeration value="Formular"/>
                    <xsd:enumeration value="Publikation"/>
                    <xsd:enumeration value="Medienmitteilung"/>
                    <xsd:enumeration value="Temporäre Dokumente"/>
                    <xsd:enumeration value="anderes!"/>
                  </xsd:restriction>
                </xsd:simpleType>
              </xsd:element>
            </xsd:sequence>
          </xsd:extension>
        </xsd:complexContent>
      </xsd:complexType>
    </xsd:element>
    <xsd:element name="Schluesselwort" ma:index="16" nillable="true" ma:displayName="Schluesselwort" ma:internalName="Schluesselwort">
      <xsd:simpleType>
        <xsd:restriction base="dms:Text">
          <xsd:maxLength value="255"/>
        </xsd:restriction>
      </xsd:simpleType>
    </xsd:element>
    <xsd:element name="Zielgruppe" ma:index="17" nillable="true" ma:displayName="Zielgruppe" ma:internalName="Zielgruppe">
      <xsd:complexType>
        <xsd:complexContent>
          <xsd:extension base="dms:MultiChoice">
            <xsd:sequence>
              <xsd:element name="Value" maxOccurs="unbounded" minOccurs="0" nillable="true">
                <xsd:simpleType>
                  <xsd:restriction base="dms:Choice">
                    <xsd:enumeration value="Zielgruppe 1"/>
                    <xsd:enumeration value="Zielgruppe 2"/>
                  </xsd:restriction>
                </xsd:simpleType>
              </xsd:element>
            </xsd:sequence>
          </xsd:extension>
        </xsd:complexContent>
      </xsd:complexType>
    </xsd:element>
    <xsd:element name="ExemplarWeiteres" ma:index="19" nillable="true" ma:displayName="Weiteres" ma:internalName="ExemplarWeiter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DateString" ma:index="6" nillable="true" ma:displayName="Datum" ma:description="Verweisdatum (s.a. im Dokument)" ma:format="DateOnly" ma:internalName="DateString">
      <xsd:simpleType>
        <xsd:restriction base="dms:DateTime"/>
      </xsd:simple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altstyp"/>
        <xsd:element ref="dc:title" minOccurs="0" maxOccurs="1" ma:index="1" ma:displayName="Titel"/>
        <xsd:element ref="dc:subject" minOccurs="0" maxOccurs="1"/>
        <xsd:element ref="dc:description" minOccurs="0" maxOccurs="1" ma:index="9" ma:displayName="Kommentare"/>
        <xsd:element name="keywords" minOccurs="0" maxOccurs="1" type="xsd:string"/>
        <xsd:element ref="dc:language" minOccurs="0" maxOccurs="1"/>
        <xsd:element name="category" minOccurs="0" maxOccurs="1" type="xsd:string" ma:index="4"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
      <Value>IT</Value>
    </Language>
    <DateString xmlns="47d2a402-d77b-4bbf-8606-249d8b7d3cfc">2025-11-18T23:00:00+00:00</DateString>
    <Dokumentart xmlns="aaa33bb4-a131-48f4-9bc1-82a00e57a64a">
      <Value>anderes!</Value>
    </Dokumentart>
    <Numero xmlns="aaa33bb4-a131-48f4-9bc1-82a00e57a64a" xsi:nil="true"/>
    <Kurzform xmlns="aaa33bb4-a131-48f4-9bc1-82a00e57a64a">ANU-406-12i </Kurzform>
    <CustomerID xmlns="http://schemas.microsoft.com/sharepoint/v3">ANU-406-12i </CustomerID>
    <Zielgruppe xmlns="aaa33bb4-a131-48f4-9bc1-82a00e57a64a"/>
    <ExemplarWeiteres xmlns="aaa33bb4-a131-48f4-9bc1-82a00e57a64a" xsi:nil="true"/>
    <Schluesselwort xmlns="aaa33bb4-a131-48f4-9bc1-82a00e57a64a" xsi:nil="true"/>
  </documentManagement>
</p:properties>
</file>

<file path=customXml/itemProps1.xml><?xml version="1.0" encoding="utf-8"?>
<ds:datastoreItem xmlns:ds="http://schemas.openxmlformats.org/officeDocument/2006/customXml" ds:itemID="{9E3E4D54-7BC0-4838-BF7F-F8660B5E9328}">
  <ds:schemaRefs>
    <ds:schemaRef ds:uri="http://schemas.microsoft.com/sharepoint/v3/contenttype/forms"/>
  </ds:schemaRefs>
</ds:datastoreItem>
</file>

<file path=customXml/itemProps2.xml><?xml version="1.0" encoding="utf-8"?>
<ds:datastoreItem xmlns:ds="http://schemas.openxmlformats.org/officeDocument/2006/customXml" ds:itemID="{9DFE3DD3-8663-4540-812E-0C1DF855A2D2}"/>
</file>

<file path=customXml/itemProps3.xml><?xml version="1.0" encoding="utf-8"?>
<ds:datastoreItem xmlns:ds="http://schemas.openxmlformats.org/officeDocument/2006/customXml" ds:itemID="{0F0BE297-8EFE-4818-BBF1-0B9A8BB520B8}">
  <ds:schemaRefs>
    <ds:schemaRef ds:uri="http://schemas.openxmlformats.org/officeDocument/2006/bibliography"/>
  </ds:schemaRefs>
</ds:datastoreItem>
</file>

<file path=customXml/itemProps4.xml><?xml version="1.0" encoding="utf-8"?>
<ds:datastoreItem xmlns:ds="http://schemas.openxmlformats.org/officeDocument/2006/customXml" ds:itemID="{EC772520-4F4D-4F98-A912-83D18D82880A}">
  <ds:schemaRefs>
    <ds:schemaRef ds:uri="http://schemas.microsoft.com/sharepoint/v3"/>
    <ds:schemaRef ds:uri="http://purl.org/dc/terms/"/>
    <ds:schemaRef ds:uri="http://www.w3.org/XML/1998/namespace"/>
    <ds:schemaRef ds:uri="47d2a402-d77b-4bbf-8606-249d8b7d3cfc"/>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aaa33bb4-a131-48f4-9bc1-82a00e57a64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4018</Words>
  <Characters>25320</Characters>
  <Application>Microsoft Office Word</Application>
  <DocSecurity>4</DocSecurity>
  <Lines>211</Lines>
  <Paragraphs>58</Paragraphs>
  <ScaleCrop>false</ScaleCrop>
  <HeadingPairs>
    <vt:vector size="2" baseType="variant">
      <vt:variant>
        <vt:lpstr>Titel</vt:lpstr>
      </vt:variant>
      <vt:variant>
        <vt:i4>1</vt:i4>
      </vt:variant>
    </vt:vector>
  </HeadingPairs>
  <TitlesOfParts>
    <vt:vector size="1" baseType="lpstr">
      <vt:lpstr>Muster-Schutzzonenreglement, Version 1.1</vt:lpstr>
    </vt:vector>
  </TitlesOfParts>
  <Company/>
  <LinksUpToDate>false</LinksUpToDate>
  <CharactersWithSpaces>29280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modello delle zone di protezione delle acque sotter-ranee</dc:title>
  <dc:subject/>
  <dc:creator>Schneller Alessandra</dc:creator>
  <cp:keywords/>
  <dc:description/>
  <cp:lastModifiedBy>Jäger Melanie (ANU GR)</cp:lastModifiedBy>
  <cp:revision>2</cp:revision>
  <cp:lastPrinted>2025-10-07T07:22:00Z</cp:lastPrinted>
  <dcterms:created xsi:type="dcterms:W3CDTF">2026-02-26T07:37:00Z</dcterms:created>
  <dcterms:modified xsi:type="dcterms:W3CDTF">2026-02-26T07:37:00Z</dcterms:modified>
  <cp:category>TP_Wasser_Ausscheidung_Home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4.Selektion">
    <vt:lpwstr>thisdoc=1</vt:lpwstr>
  </property>
  <property fmtid="{D5CDD505-2E9C-101B-9397-08002B2CF9AE}" pid="3" name="DOK_3.Selektion">
    <vt:lpwstr>thisdoc=1</vt:lpwstr>
  </property>
  <property fmtid="{D5CDD505-2E9C-101B-9397-08002B2CF9AE}" pid="4" name="EIN_5.Selektion">
    <vt:lpwstr>ZSZ_ZSZ_NAME= 'Register ANU'</vt:lpwstr>
  </property>
  <property fmtid="{D5CDD505-2E9C-101B-9397-08002B2CF9AE}" pid="5" name="ContentTypeId">
    <vt:lpwstr>0x0101003B9A4BAD06C92748B2C8CA92399C5FA3</vt:lpwstr>
  </property>
  <property fmtid="{D5CDD505-2E9C-101B-9397-08002B2CF9AE}" pid="6" name="ZWS_6.Selektion">
    <vt:lpwstr>ZSZ_ZSZ_NAME= 'Beteiligter'</vt:lpwstr>
  </property>
  <property fmtid="{D5CDD505-2E9C-101B-9397-08002B2CF9AE}" pid="7" name="ZWS_6.SelektionManuell">
    <vt:bool>true</vt:bool>
  </property>
  <property fmtid="{D5CDD505-2E9C-101B-9397-08002B2CF9AE}" pid="8" name="MSIP_Label_fbfc5642-2d7f-4e68-9674-ab3e35a89b06_Enabled">
    <vt:lpwstr>true</vt:lpwstr>
  </property>
  <property fmtid="{D5CDD505-2E9C-101B-9397-08002B2CF9AE}" pid="9" name="MSIP_Label_fbfc5642-2d7f-4e68-9674-ab3e35a89b06_SetDate">
    <vt:lpwstr>2025-05-12T14:54:35Z</vt:lpwstr>
  </property>
  <property fmtid="{D5CDD505-2E9C-101B-9397-08002B2CF9AE}" pid="10" name="MSIP_Label_fbfc5642-2d7f-4e68-9674-ab3e35a89b06_Method">
    <vt:lpwstr>Standard</vt:lpwstr>
  </property>
  <property fmtid="{D5CDD505-2E9C-101B-9397-08002B2CF9AE}" pid="11" name="MSIP_Label_fbfc5642-2d7f-4e68-9674-ab3e35a89b06_Name">
    <vt:lpwstr>label-2-default</vt:lpwstr>
  </property>
  <property fmtid="{D5CDD505-2E9C-101B-9397-08002B2CF9AE}" pid="12" name="MSIP_Label_fbfc5642-2d7f-4e68-9674-ab3e35a89b06_SiteId">
    <vt:lpwstr>70ee0a01-45f2-4b86-aa78-73100089c50c</vt:lpwstr>
  </property>
  <property fmtid="{D5CDD505-2E9C-101B-9397-08002B2CF9AE}" pid="13" name="MSIP_Label_fbfc5642-2d7f-4e68-9674-ab3e35a89b06_ActionId">
    <vt:lpwstr>8c97447d-086a-4c68-bb2b-fd08d45b84a7</vt:lpwstr>
  </property>
  <property fmtid="{D5CDD505-2E9C-101B-9397-08002B2CF9AE}" pid="14" name="MSIP_Label_fbfc5642-2d7f-4e68-9674-ab3e35a89b06_ContentBits">
    <vt:lpwstr>0</vt:lpwstr>
  </property>
</Properties>
</file>